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77" w:rsidRDefault="008C679F" w:rsidP="008C679F">
      <w:pPr>
        <w:pStyle w:val="Heading1"/>
        <w:rPr>
          <w:rFonts w:ascii="Times New Roman" w:hAnsi="Times New Roman" w:cs="Times New Roman"/>
          <w:b/>
          <w:color w:val="auto"/>
          <w:lang w:val="en-US"/>
        </w:rPr>
      </w:pPr>
      <w:r w:rsidRPr="008C679F">
        <w:rPr>
          <w:rFonts w:ascii="Times New Roman" w:hAnsi="Times New Roman" w:cs="Times New Roman"/>
          <w:b/>
          <w:color w:val="auto"/>
          <w:lang w:val="en-US"/>
        </w:rPr>
        <w:t>Findings of insecticide monitoring in Nordic and Baltics in 2017</w:t>
      </w:r>
    </w:p>
    <w:p w:rsidR="009932AF" w:rsidRPr="009932AF" w:rsidRDefault="009932AF" w:rsidP="009932AF">
      <w:pPr>
        <w:rPr>
          <w:rFonts w:ascii="Times New Roman" w:hAnsi="Times New Roman" w:cs="Times New Roman"/>
          <w:lang w:val="en-US"/>
        </w:rPr>
      </w:pPr>
      <w:r w:rsidRPr="009932AF">
        <w:rPr>
          <w:rFonts w:ascii="Times New Roman" w:hAnsi="Times New Roman" w:cs="Times New Roman"/>
          <w:lang w:val="en-US"/>
        </w:rPr>
        <w:t>Dorte Højland Castberg, Agrolab A/S</w:t>
      </w:r>
    </w:p>
    <w:p w:rsidR="009932AF" w:rsidRDefault="009932AF" w:rsidP="001F1F59">
      <w:pPr>
        <w:jc w:val="both"/>
        <w:rPr>
          <w:rFonts w:ascii="Times New Roman" w:hAnsi="Times New Roman" w:cs="Times New Roman"/>
          <w:lang w:val="en-US"/>
        </w:rPr>
      </w:pPr>
    </w:p>
    <w:p w:rsidR="009A67ED" w:rsidRPr="001C6161" w:rsidRDefault="00A05928" w:rsidP="001F1F59">
      <w:pPr>
        <w:jc w:val="both"/>
        <w:rPr>
          <w:rFonts w:ascii="Times New Roman" w:hAnsi="Times New Roman" w:cs="Times New Roman"/>
          <w:lang w:val="en-US"/>
        </w:rPr>
      </w:pPr>
      <w:r w:rsidRPr="001C6161">
        <w:rPr>
          <w:rFonts w:ascii="Times New Roman" w:hAnsi="Times New Roman" w:cs="Times New Roman"/>
          <w:lang w:val="en-US"/>
        </w:rPr>
        <w:t>This report aim</w:t>
      </w:r>
      <w:r w:rsidR="00D06F64" w:rsidRPr="001C6161">
        <w:rPr>
          <w:rFonts w:ascii="Times New Roman" w:hAnsi="Times New Roman" w:cs="Times New Roman"/>
          <w:lang w:val="en-US"/>
        </w:rPr>
        <w:t>s</w:t>
      </w:r>
      <w:r w:rsidRPr="001C6161">
        <w:rPr>
          <w:rFonts w:ascii="Times New Roman" w:hAnsi="Times New Roman" w:cs="Times New Roman"/>
          <w:lang w:val="en-US"/>
        </w:rPr>
        <w:t xml:space="preserve"> to give a short and concise overview of the data obtained by members of the </w:t>
      </w:r>
      <w:proofErr w:type="spellStart"/>
      <w:r w:rsidRPr="001C6161">
        <w:rPr>
          <w:rFonts w:ascii="Times New Roman" w:hAnsi="Times New Roman" w:cs="Times New Roman"/>
          <w:lang w:val="en-US"/>
        </w:rPr>
        <w:t>NorBaRAG</w:t>
      </w:r>
      <w:proofErr w:type="spellEnd"/>
      <w:r w:rsidRPr="001C6161">
        <w:rPr>
          <w:rFonts w:ascii="Times New Roman" w:hAnsi="Times New Roman" w:cs="Times New Roman"/>
          <w:lang w:val="en-US"/>
        </w:rPr>
        <w:t xml:space="preserve"> insecticide subgroup in 2017. </w:t>
      </w:r>
      <w:r w:rsidR="000227FF" w:rsidRPr="001C6161">
        <w:rPr>
          <w:rFonts w:ascii="Times New Roman" w:hAnsi="Times New Roman" w:cs="Times New Roman"/>
          <w:lang w:val="en-US"/>
        </w:rPr>
        <w:t>All members are encouraged to contribute to th</w:t>
      </w:r>
      <w:r w:rsidR="009A67ED" w:rsidRPr="001C6161">
        <w:rPr>
          <w:rFonts w:ascii="Times New Roman" w:hAnsi="Times New Roman" w:cs="Times New Roman"/>
          <w:lang w:val="en-US"/>
        </w:rPr>
        <w:t>is and future</w:t>
      </w:r>
      <w:r w:rsidR="000227FF" w:rsidRPr="001C6161">
        <w:rPr>
          <w:rFonts w:ascii="Times New Roman" w:hAnsi="Times New Roman" w:cs="Times New Roman"/>
          <w:lang w:val="en-US"/>
        </w:rPr>
        <w:t xml:space="preserve"> report</w:t>
      </w:r>
      <w:r w:rsidR="009A67ED" w:rsidRPr="001C6161">
        <w:rPr>
          <w:rFonts w:ascii="Times New Roman" w:hAnsi="Times New Roman" w:cs="Times New Roman"/>
          <w:lang w:val="en-US"/>
        </w:rPr>
        <w:t>s</w:t>
      </w:r>
      <w:r w:rsidR="000227FF" w:rsidRPr="001C6161">
        <w:rPr>
          <w:rFonts w:ascii="Times New Roman" w:hAnsi="Times New Roman" w:cs="Times New Roman"/>
          <w:lang w:val="en-US"/>
        </w:rPr>
        <w:t xml:space="preserve"> by sending an overview of data to the insecticide subgroup chair.</w:t>
      </w:r>
      <w:r w:rsidR="00D06F64" w:rsidRPr="001C6161">
        <w:rPr>
          <w:rFonts w:ascii="Times New Roman" w:hAnsi="Times New Roman" w:cs="Times New Roman"/>
          <w:lang w:val="en-US"/>
        </w:rPr>
        <w:t xml:space="preserve"> </w:t>
      </w:r>
    </w:p>
    <w:p w:rsidR="00A05928" w:rsidRPr="001C6161" w:rsidRDefault="009A67ED" w:rsidP="001F1F59">
      <w:pPr>
        <w:jc w:val="both"/>
        <w:rPr>
          <w:rFonts w:ascii="Times New Roman" w:hAnsi="Times New Roman" w:cs="Times New Roman"/>
          <w:lang w:val="en-US"/>
        </w:rPr>
      </w:pPr>
      <w:r w:rsidRPr="001C6161">
        <w:rPr>
          <w:rFonts w:ascii="Times New Roman" w:hAnsi="Times New Roman" w:cs="Times New Roman"/>
          <w:lang w:val="en-US"/>
        </w:rPr>
        <w:t xml:space="preserve">In </w:t>
      </w:r>
      <w:r w:rsidRPr="00AA4EF8">
        <w:rPr>
          <w:rFonts w:ascii="Times New Roman" w:hAnsi="Times New Roman" w:cs="Times New Roman"/>
          <w:lang w:val="en-US"/>
        </w:rPr>
        <w:t xml:space="preserve">2017, </w:t>
      </w:r>
      <w:r w:rsidR="00055232" w:rsidRPr="00AA4EF8">
        <w:rPr>
          <w:rFonts w:ascii="Times New Roman" w:hAnsi="Times New Roman" w:cs="Times New Roman"/>
          <w:lang w:val="en-US"/>
        </w:rPr>
        <w:t>five</w:t>
      </w:r>
      <w:r w:rsidR="00AA4EF8" w:rsidRPr="00AA4EF8">
        <w:rPr>
          <w:rFonts w:ascii="Times New Roman" w:hAnsi="Times New Roman" w:cs="Times New Roman"/>
          <w:lang w:val="en-US"/>
        </w:rPr>
        <w:t xml:space="preserve"> active substances</w:t>
      </w:r>
      <w:r w:rsidR="00D06F64" w:rsidRPr="00AA4EF8">
        <w:rPr>
          <w:rFonts w:ascii="Times New Roman" w:hAnsi="Times New Roman" w:cs="Times New Roman"/>
          <w:lang w:val="en-US"/>
        </w:rPr>
        <w:t xml:space="preserve"> with three modes of action were tested using standard IRAC susceptibility test methods. For some of the i</w:t>
      </w:r>
      <w:r w:rsidR="0017727D" w:rsidRPr="00AA4EF8">
        <w:rPr>
          <w:rFonts w:ascii="Times New Roman" w:hAnsi="Times New Roman" w:cs="Times New Roman"/>
          <w:lang w:val="en-US"/>
        </w:rPr>
        <w:t>n</w:t>
      </w:r>
      <w:r w:rsidR="00D06F64" w:rsidRPr="00AA4EF8">
        <w:rPr>
          <w:rFonts w:ascii="Times New Roman" w:hAnsi="Times New Roman" w:cs="Times New Roman"/>
          <w:lang w:val="en-US"/>
        </w:rPr>
        <w:t>sect</w:t>
      </w:r>
      <w:r w:rsidR="00D06F64" w:rsidRPr="001C6161">
        <w:rPr>
          <w:rFonts w:ascii="Times New Roman" w:hAnsi="Times New Roman" w:cs="Times New Roman"/>
          <w:lang w:val="en-US"/>
        </w:rPr>
        <w:t xml:space="preserve"> pests,</w:t>
      </w:r>
      <w:r w:rsidR="0017727D" w:rsidRPr="001C6161">
        <w:rPr>
          <w:rFonts w:ascii="Times New Roman" w:hAnsi="Times New Roman" w:cs="Times New Roman"/>
          <w:lang w:val="en-US"/>
        </w:rPr>
        <w:t xml:space="preserve"> </w:t>
      </w:r>
      <w:r w:rsidR="00D06F64" w:rsidRPr="001C6161">
        <w:rPr>
          <w:rFonts w:ascii="Times New Roman" w:hAnsi="Times New Roman" w:cs="Times New Roman"/>
          <w:lang w:val="en-US"/>
        </w:rPr>
        <w:t xml:space="preserve">a specific IRAC method </w:t>
      </w:r>
      <w:r w:rsidR="008C679F">
        <w:rPr>
          <w:rFonts w:ascii="Times New Roman" w:hAnsi="Times New Roman" w:cs="Times New Roman"/>
          <w:lang w:val="en-US"/>
        </w:rPr>
        <w:t xml:space="preserve">for the different actives </w:t>
      </w:r>
      <w:r w:rsidR="00D06F64" w:rsidRPr="001C6161">
        <w:rPr>
          <w:rFonts w:ascii="Times New Roman" w:hAnsi="Times New Roman" w:cs="Times New Roman"/>
          <w:lang w:val="en-US"/>
        </w:rPr>
        <w:t>has not been developed. In those cases, the method used is described.</w:t>
      </w:r>
    </w:p>
    <w:tbl>
      <w:tblPr>
        <w:tblStyle w:val="TableGrid"/>
        <w:tblW w:w="0" w:type="auto"/>
        <w:tblLook w:val="04A0" w:firstRow="1" w:lastRow="0" w:firstColumn="1" w:lastColumn="0" w:noHBand="0" w:noVBand="1"/>
      </w:tblPr>
      <w:tblGrid>
        <w:gridCol w:w="1508"/>
        <w:gridCol w:w="2496"/>
        <w:gridCol w:w="1732"/>
        <w:gridCol w:w="1842"/>
        <w:gridCol w:w="1842"/>
      </w:tblGrid>
      <w:tr w:rsidR="00963CDC" w:rsidRPr="009932AF" w:rsidTr="00963CDC">
        <w:tc>
          <w:tcPr>
            <w:tcW w:w="1508" w:type="dxa"/>
            <w:vMerge w:val="restart"/>
            <w:vAlign w:val="center"/>
          </w:tcPr>
          <w:p w:rsidR="00963CDC" w:rsidRPr="001C6161" w:rsidRDefault="00963CDC" w:rsidP="001F1F59">
            <w:pPr>
              <w:jc w:val="both"/>
              <w:rPr>
                <w:rFonts w:ascii="Times New Roman" w:hAnsi="Times New Roman" w:cs="Times New Roman"/>
                <w:b/>
                <w:lang w:val="en-US"/>
              </w:rPr>
            </w:pPr>
            <w:r w:rsidRPr="001C6161">
              <w:rPr>
                <w:rFonts w:ascii="Times New Roman" w:hAnsi="Times New Roman" w:cs="Times New Roman"/>
                <w:b/>
                <w:lang w:val="en-US"/>
              </w:rPr>
              <w:t>Active</w:t>
            </w:r>
          </w:p>
        </w:tc>
        <w:tc>
          <w:tcPr>
            <w:tcW w:w="2496" w:type="dxa"/>
            <w:vMerge w:val="restart"/>
            <w:vAlign w:val="center"/>
          </w:tcPr>
          <w:p w:rsidR="00963CDC" w:rsidRPr="001C6161" w:rsidRDefault="00963CDC" w:rsidP="001F1F59">
            <w:pPr>
              <w:jc w:val="both"/>
              <w:rPr>
                <w:rFonts w:ascii="Times New Roman" w:hAnsi="Times New Roman" w:cs="Times New Roman"/>
                <w:b/>
                <w:lang w:val="en-US"/>
              </w:rPr>
            </w:pPr>
            <w:r w:rsidRPr="001C6161">
              <w:rPr>
                <w:rFonts w:ascii="Times New Roman" w:hAnsi="Times New Roman" w:cs="Times New Roman"/>
                <w:b/>
                <w:lang w:val="en-US"/>
              </w:rPr>
              <w:t>Mode of action (IRAC)</w:t>
            </w:r>
          </w:p>
        </w:tc>
        <w:tc>
          <w:tcPr>
            <w:tcW w:w="5416" w:type="dxa"/>
            <w:gridSpan w:val="3"/>
            <w:vAlign w:val="center"/>
          </w:tcPr>
          <w:p w:rsidR="00963CDC" w:rsidRPr="001C6161" w:rsidRDefault="00963CDC" w:rsidP="008C679F">
            <w:pPr>
              <w:jc w:val="center"/>
              <w:rPr>
                <w:rFonts w:ascii="Times New Roman" w:hAnsi="Times New Roman" w:cs="Times New Roman"/>
                <w:b/>
                <w:lang w:val="en-US"/>
              </w:rPr>
            </w:pPr>
            <w:r w:rsidRPr="001C6161">
              <w:rPr>
                <w:rFonts w:ascii="Times New Roman" w:hAnsi="Times New Roman" w:cs="Times New Roman"/>
                <w:b/>
                <w:lang w:val="en-US"/>
              </w:rPr>
              <w:t>Amount of active (ng/cm</w:t>
            </w:r>
            <w:r w:rsidR="00AA4EF8">
              <w:rPr>
                <w:rFonts w:ascii="Times New Roman" w:hAnsi="Times New Roman" w:cs="Times New Roman"/>
                <w:b/>
                <w:vertAlign w:val="superscript"/>
                <w:lang w:val="en-US"/>
              </w:rPr>
              <w:t>2</w:t>
            </w:r>
            <w:r w:rsidRPr="001C6161">
              <w:rPr>
                <w:rFonts w:ascii="Times New Roman" w:hAnsi="Times New Roman" w:cs="Times New Roman"/>
                <w:b/>
                <w:lang w:val="en-US"/>
              </w:rPr>
              <w:t>)</w:t>
            </w:r>
          </w:p>
        </w:tc>
      </w:tr>
      <w:tr w:rsidR="00963CDC" w:rsidRPr="001C6161" w:rsidTr="00963CDC">
        <w:tc>
          <w:tcPr>
            <w:tcW w:w="1508" w:type="dxa"/>
            <w:vMerge/>
            <w:vAlign w:val="center"/>
          </w:tcPr>
          <w:p w:rsidR="00963CDC" w:rsidRPr="001C6161" w:rsidRDefault="00963CDC" w:rsidP="001F1F59">
            <w:pPr>
              <w:jc w:val="both"/>
              <w:rPr>
                <w:rFonts w:ascii="Times New Roman" w:hAnsi="Times New Roman" w:cs="Times New Roman"/>
                <w:b/>
                <w:lang w:val="en-US"/>
              </w:rPr>
            </w:pPr>
          </w:p>
        </w:tc>
        <w:tc>
          <w:tcPr>
            <w:tcW w:w="2496" w:type="dxa"/>
            <w:vMerge/>
            <w:vAlign w:val="center"/>
          </w:tcPr>
          <w:p w:rsidR="00963CDC" w:rsidRPr="001C6161" w:rsidRDefault="00963CDC" w:rsidP="001F1F59">
            <w:pPr>
              <w:jc w:val="both"/>
              <w:rPr>
                <w:rFonts w:ascii="Times New Roman" w:hAnsi="Times New Roman" w:cs="Times New Roman"/>
                <w:b/>
                <w:lang w:val="en-US"/>
              </w:rPr>
            </w:pPr>
          </w:p>
        </w:tc>
        <w:tc>
          <w:tcPr>
            <w:tcW w:w="1732" w:type="dxa"/>
            <w:vAlign w:val="center"/>
          </w:tcPr>
          <w:p w:rsidR="00963CDC" w:rsidRPr="001C6161" w:rsidRDefault="00963CDC" w:rsidP="008C679F">
            <w:pPr>
              <w:jc w:val="center"/>
              <w:rPr>
                <w:rFonts w:ascii="Times New Roman" w:hAnsi="Times New Roman" w:cs="Times New Roman"/>
                <w:b/>
                <w:lang w:val="en-US"/>
              </w:rPr>
            </w:pPr>
            <w:r w:rsidRPr="001C6161">
              <w:rPr>
                <w:rFonts w:ascii="Times New Roman" w:hAnsi="Times New Roman" w:cs="Times New Roman"/>
                <w:b/>
                <w:lang w:val="en-US"/>
              </w:rPr>
              <w:t>20% Field rate</w:t>
            </w:r>
          </w:p>
        </w:tc>
        <w:tc>
          <w:tcPr>
            <w:tcW w:w="1842" w:type="dxa"/>
            <w:vAlign w:val="center"/>
          </w:tcPr>
          <w:p w:rsidR="00963CDC" w:rsidRPr="001C6161" w:rsidRDefault="00963CDC" w:rsidP="008C679F">
            <w:pPr>
              <w:jc w:val="center"/>
              <w:rPr>
                <w:rFonts w:ascii="Times New Roman" w:hAnsi="Times New Roman" w:cs="Times New Roman"/>
                <w:b/>
                <w:lang w:val="en-US"/>
              </w:rPr>
            </w:pPr>
            <w:r w:rsidRPr="001C6161">
              <w:rPr>
                <w:rFonts w:ascii="Times New Roman" w:hAnsi="Times New Roman" w:cs="Times New Roman"/>
                <w:b/>
                <w:lang w:val="en-US"/>
              </w:rPr>
              <w:t>100% Field rate</w:t>
            </w:r>
          </w:p>
        </w:tc>
        <w:tc>
          <w:tcPr>
            <w:tcW w:w="1842" w:type="dxa"/>
            <w:vAlign w:val="center"/>
          </w:tcPr>
          <w:p w:rsidR="00963CDC" w:rsidRPr="001C6161" w:rsidRDefault="00963CDC" w:rsidP="008C679F">
            <w:pPr>
              <w:jc w:val="center"/>
              <w:rPr>
                <w:rFonts w:ascii="Times New Roman" w:hAnsi="Times New Roman" w:cs="Times New Roman"/>
                <w:b/>
                <w:lang w:val="en-US"/>
              </w:rPr>
            </w:pPr>
            <w:r w:rsidRPr="001C6161">
              <w:rPr>
                <w:rFonts w:ascii="Times New Roman" w:hAnsi="Times New Roman" w:cs="Times New Roman"/>
                <w:b/>
                <w:lang w:val="en-US"/>
              </w:rPr>
              <w:t>200% Field rate</w:t>
            </w:r>
          </w:p>
        </w:tc>
      </w:tr>
      <w:tr w:rsidR="00963CDC" w:rsidRPr="001C6161" w:rsidTr="00963CDC">
        <w:tc>
          <w:tcPr>
            <w:tcW w:w="1508"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λ-cyhalothrin</w:t>
            </w:r>
          </w:p>
        </w:tc>
        <w:tc>
          <w:tcPr>
            <w:tcW w:w="2496"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Pyrethroid (3A)</w:t>
            </w:r>
          </w:p>
        </w:tc>
        <w:tc>
          <w:tcPr>
            <w:tcW w:w="173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15</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75</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150</w:t>
            </w:r>
          </w:p>
        </w:tc>
      </w:tr>
      <w:tr w:rsidR="00963CDC" w:rsidRPr="001C6161" w:rsidTr="00963CDC">
        <w:tc>
          <w:tcPr>
            <w:tcW w:w="1508"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τ-fluvalinate</w:t>
            </w:r>
          </w:p>
        </w:tc>
        <w:tc>
          <w:tcPr>
            <w:tcW w:w="2496"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Pyrethroid (3A)</w:t>
            </w:r>
          </w:p>
        </w:tc>
        <w:tc>
          <w:tcPr>
            <w:tcW w:w="173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96</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480</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960</w:t>
            </w:r>
          </w:p>
        </w:tc>
      </w:tr>
      <w:tr w:rsidR="00963CDC" w:rsidRPr="001C6161" w:rsidTr="00963CDC">
        <w:tc>
          <w:tcPr>
            <w:tcW w:w="1508"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Thiacloprid</w:t>
            </w:r>
          </w:p>
        </w:tc>
        <w:tc>
          <w:tcPr>
            <w:tcW w:w="2496"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Neonicotinoid (4A)</w:t>
            </w:r>
          </w:p>
        </w:tc>
        <w:tc>
          <w:tcPr>
            <w:tcW w:w="173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144</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720</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1440</w:t>
            </w:r>
          </w:p>
        </w:tc>
      </w:tr>
      <w:tr w:rsidR="00963CDC" w:rsidRPr="001C6161" w:rsidTr="00963CDC">
        <w:tc>
          <w:tcPr>
            <w:tcW w:w="1508"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Acetamiprid</w:t>
            </w:r>
          </w:p>
        </w:tc>
        <w:tc>
          <w:tcPr>
            <w:tcW w:w="2496" w:type="dxa"/>
            <w:vAlign w:val="center"/>
          </w:tcPr>
          <w:p w:rsidR="00963CDC" w:rsidRPr="001C6161" w:rsidRDefault="00963CDC" w:rsidP="001F1F59">
            <w:pPr>
              <w:jc w:val="both"/>
              <w:rPr>
                <w:rFonts w:ascii="Times New Roman" w:hAnsi="Times New Roman" w:cs="Times New Roman"/>
                <w:lang w:val="en-US"/>
              </w:rPr>
            </w:pPr>
            <w:r w:rsidRPr="001C6161">
              <w:rPr>
                <w:rFonts w:ascii="Times New Roman" w:hAnsi="Times New Roman" w:cs="Times New Roman"/>
                <w:lang w:val="en-US"/>
              </w:rPr>
              <w:t>Neonicotinoid (4A)</w:t>
            </w:r>
          </w:p>
        </w:tc>
        <w:tc>
          <w:tcPr>
            <w:tcW w:w="173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80</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400</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800</w:t>
            </w:r>
          </w:p>
        </w:tc>
      </w:tr>
      <w:tr w:rsidR="00963CDC" w:rsidRPr="001C6161" w:rsidTr="00963CDC">
        <w:tc>
          <w:tcPr>
            <w:tcW w:w="1508" w:type="dxa"/>
            <w:vAlign w:val="center"/>
          </w:tcPr>
          <w:p w:rsidR="00963CDC" w:rsidRPr="001C6161" w:rsidRDefault="00963CDC" w:rsidP="001F1F59">
            <w:pPr>
              <w:jc w:val="both"/>
              <w:rPr>
                <w:rFonts w:ascii="Times New Roman" w:hAnsi="Times New Roman" w:cs="Times New Roman"/>
              </w:rPr>
            </w:pPr>
            <w:proofErr w:type="spellStart"/>
            <w:r w:rsidRPr="001C6161">
              <w:rPr>
                <w:rFonts w:ascii="Times New Roman" w:hAnsi="Times New Roman" w:cs="Times New Roman"/>
              </w:rPr>
              <w:t>Indoxacarb</w:t>
            </w:r>
            <w:proofErr w:type="spellEnd"/>
          </w:p>
        </w:tc>
        <w:tc>
          <w:tcPr>
            <w:tcW w:w="2496" w:type="dxa"/>
            <w:vAlign w:val="center"/>
          </w:tcPr>
          <w:p w:rsidR="00963CDC" w:rsidRPr="001C6161" w:rsidRDefault="00963CDC" w:rsidP="001F1F59">
            <w:pPr>
              <w:jc w:val="both"/>
              <w:rPr>
                <w:rFonts w:ascii="Times New Roman" w:hAnsi="Times New Roman" w:cs="Times New Roman"/>
                <w:lang w:val="en-US"/>
              </w:rPr>
            </w:pPr>
            <w:proofErr w:type="spellStart"/>
            <w:r w:rsidRPr="001C6161">
              <w:rPr>
                <w:rFonts w:ascii="Times New Roman" w:hAnsi="Times New Roman" w:cs="Times New Roman"/>
                <w:lang w:val="en-US"/>
              </w:rPr>
              <w:t>Semicarbazones</w:t>
            </w:r>
            <w:proofErr w:type="spellEnd"/>
            <w:r w:rsidRPr="001C6161">
              <w:rPr>
                <w:rFonts w:ascii="Times New Roman" w:hAnsi="Times New Roman" w:cs="Times New Roman"/>
                <w:lang w:val="en-US"/>
              </w:rPr>
              <w:t xml:space="preserve"> (22B)</w:t>
            </w:r>
          </w:p>
        </w:tc>
        <w:tc>
          <w:tcPr>
            <w:tcW w:w="1732" w:type="dxa"/>
            <w:vAlign w:val="center"/>
          </w:tcPr>
          <w:p w:rsidR="001D2542" w:rsidRDefault="002E275A" w:rsidP="008C679F">
            <w:pPr>
              <w:jc w:val="center"/>
              <w:rPr>
                <w:rFonts w:ascii="Times New Roman" w:hAnsi="Times New Roman" w:cs="Times New Roman"/>
                <w:lang w:val="en-US"/>
              </w:rPr>
            </w:pPr>
            <w:r w:rsidRPr="001C6161">
              <w:rPr>
                <w:rFonts w:ascii="Times New Roman" w:hAnsi="Times New Roman" w:cs="Times New Roman"/>
                <w:lang w:val="en-US"/>
              </w:rPr>
              <w:t xml:space="preserve">63.75 </w:t>
            </w:r>
          </w:p>
          <w:p w:rsidR="00963CDC" w:rsidRPr="001C6161" w:rsidRDefault="002E275A" w:rsidP="001D2542">
            <w:pPr>
              <w:jc w:val="center"/>
              <w:rPr>
                <w:rFonts w:ascii="Times New Roman" w:hAnsi="Times New Roman" w:cs="Times New Roman"/>
                <w:lang w:val="en-US"/>
              </w:rPr>
            </w:pPr>
            <w:r w:rsidRPr="001C6161">
              <w:rPr>
                <w:rFonts w:ascii="Times New Roman" w:hAnsi="Times New Roman" w:cs="Times New Roman"/>
                <w:lang w:val="en-US"/>
              </w:rPr>
              <w:t>(25%</w:t>
            </w:r>
            <w:r w:rsidR="001D2542">
              <w:rPr>
                <w:rFonts w:ascii="Times New Roman" w:hAnsi="Times New Roman" w:cs="Times New Roman"/>
                <w:lang w:val="en-US"/>
              </w:rPr>
              <w:t xml:space="preserve"> </w:t>
            </w:r>
            <w:r w:rsidRPr="001C6161">
              <w:rPr>
                <w:rFonts w:ascii="Times New Roman" w:hAnsi="Times New Roman" w:cs="Times New Roman"/>
                <w:lang w:val="en-US"/>
              </w:rPr>
              <w:t>F</w:t>
            </w:r>
            <w:r w:rsidR="001D2542">
              <w:rPr>
                <w:rFonts w:ascii="Times New Roman" w:hAnsi="Times New Roman" w:cs="Times New Roman"/>
                <w:lang w:val="en-US"/>
              </w:rPr>
              <w:t>ield rate</w:t>
            </w:r>
            <w:r w:rsidRPr="001C6161">
              <w:rPr>
                <w:rFonts w:ascii="Times New Roman" w:hAnsi="Times New Roman" w:cs="Times New Roman"/>
                <w:lang w:val="en-US"/>
              </w:rPr>
              <w:t>)</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225</w:t>
            </w:r>
          </w:p>
        </w:tc>
        <w:tc>
          <w:tcPr>
            <w:tcW w:w="1842" w:type="dxa"/>
            <w:vAlign w:val="center"/>
          </w:tcPr>
          <w:p w:rsidR="00963CDC" w:rsidRPr="001C6161" w:rsidRDefault="002E275A" w:rsidP="008C679F">
            <w:pPr>
              <w:jc w:val="center"/>
              <w:rPr>
                <w:rFonts w:ascii="Times New Roman" w:hAnsi="Times New Roman" w:cs="Times New Roman"/>
                <w:lang w:val="en-US"/>
              </w:rPr>
            </w:pPr>
            <w:r w:rsidRPr="001C6161">
              <w:rPr>
                <w:rFonts w:ascii="Times New Roman" w:hAnsi="Times New Roman" w:cs="Times New Roman"/>
                <w:lang w:val="en-US"/>
              </w:rPr>
              <w:t>-</w:t>
            </w:r>
          </w:p>
        </w:tc>
      </w:tr>
    </w:tbl>
    <w:p w:rsidR="00DC7477" w:rsidRPr="001C6161" w:rsidRDefault="00DC7477" w:rsidP="001F1F59">
      <w:pPr>
        <w:jc w:val="both"/>
        <w:rPr>
          <w:rFonts w:ascii="Times New Roman" w:hAnsi="Times New Roman" w:cs="Times New Roman"/>
          <w:lang w:val="en-US"/>
        </w:rPr>
      </w:pPr>
    </w:p>
    <w:p w:rsidR="00DC7477" w:rsidRPr="001C6161" w:rsidRDefault="00DC7477" w:rsidP="001F1F59">
      <w:pPr>
        <w:pStyle w:val="Heading2"/>
        <w:jc w:val="both"/>
        <w:rPr>
          <w:rFonts w:ascii="Times New Roman" w:hAnsi="Times New Roman" w:cs="Times New Roman"/>
          <w:b/>
          <w:color w:val="auto"/>
          <w:lang w:val="en-US"/>
        </w:rPr>
      </w:pPr>
      <w:proofErr w:type="spellStart"/>
      <w:r w:rsidRPr="001C6161">
        <w:rPr>
          <w:rFonts w:ascii="Times New Roman" w:hAnsi="Times New Roman" w:cs="Times New Roman"/>
          <w:b/>
          <w:color w:val="auto"/>
          <w:lang w:val="en-US"/>
        </w:rPr>
        <w:t>Brassicogethes</w:t>
      </w:r>
      <w:proofErr w:type="spellEnd"/>
      <w:r w:rsidRPr="001C6161">
        <w:rPr>
          <w:rFonts w:ascii="Times New Roman" w:hAnsi="Times New Roman" w:cs="Times New Roman"/>
          <w:b/>
          <w:color w:val="auto"/>
          <w:lang w:val="en-US"/>
        </w:rPr>
        <w:t>/</w:t>
      </w:r>
      <w:proofErr w:type="spellStart"/>
      <w:r w:rsidRPr="001C6161">
        <w:rPr>
          <w:rFonts w:ascii="Times New Roman" w:hAnsi="Times New Roman" w:cs="Times New Roman"/>
          <w:b/>
          <w:color w:val="auto"/>
          <w:lang w:val="en-US"/>
        </w:rPr>
        <w:t>Meligethes</w:t>
      </w:r>
      <w:proofErr w:type="spellEnd"/>
      <w:r w:rsidR="00662FEF" w:rsidRPr="001C6161">
        <w:rPr>
          <w:rFonts w:ascii="Times New Roman" w:hAnsi="Times New Roman" w:cs="Times New Roman"/>
          <w:b/>
          <w:color w:val="auto"/>
          <w:lang w:val="en-US"/>
        </w:rPr>
        <w:t xml:space="preserve"> </w:t>
      </w:r>
      <w:r w:rsidRPr="001C6161">
        <w:rPr>
          <w:rFonts w:ascii="Times New Roman" w:hAnsi="Times New Roman" w:cs="Times New Roman"/>
          <w:b/>
          <w:color w:val="auto"/>
          <w:lang w:val="en-US"/>
        </w:rPr>
        <w:t>spp.</w:t>
      </w:r>
    </w:p>
    <w:p w:rsidR="006E7516" w:rsidRPr="001C6161" w:rsidRDefault="006E7516" w:rsidP="001F1F59">
      <w:pPr>
        <w:jc w:val="both"/>
        <w:rPr>
          <w:rFonts w:ascii="Times New Roman" w:hAnsi="Times New Roman" w:cs="Times New Roman"/>
          <w:lang w:val="en-US"/>
        </w:rPr>
      </w:pPr>
      <w:proofErr w:type="spellStart"/>
      <w:r w:rsidRPr="001C6161">
        <w:rPr>
          <w:rFonts w:ascii="Times New Roman" w:hAnsi="Times New Roman" w:cs="Times New Roman"/>
          <w:i/>
          <w:lang w:val="en-US"/>
        </w:rPr>
        <w:t>Meligethes</w:t>
      </w:r>
      <w:proofErr w:type="spellEnd"/>
      <w:r w:rsidRPr="001C6161">
        <w:rPr>
          <w:rFonts w:ascii="Times New Roman" w:hAnsi="Times New Roman" w:cs="Times New Roman"/>
          <w:i/>
          <w:lang w:val="en-US"/>
        </w:rPr>
        <w:t xml:space="preserve"> </w:t>
      </w:r>
      <w:proofErr w:type="spellStart"/>
      <w:r w:rsidRPr="001C6161">
        <w:rPr>
          <w:rFonts w:ascii="Times New Roman" w:hAnsi="Times New Roman" w:cs="Times New Roman"/>
          <w:i/>
          <w:lang w:val="en-US"/>
        </w:rPr>
        <w:t>aeneus</w:t>
      </w:r>
      <w:proofErr w:type="spellEnd"/>
      <w:r w:rsidRPr="001C6161">
        <w:rPr>
          <w:rFonts w:ascii="Times New Roman" w:hAnsi="Times New Roman" w:cs="Times New Roman"/>
          <w:i/>
          <w:lang w:val="en-US"/>
        </w:rPr>
        <w:t xml:space="preserve"> </w:t>
      </w:r>
      <w:r w:rsidRPr="001C6161">
        <w:rPr>
          <w:rFonts w:ascii="Times New Roman" w:hAnsi="Times New Roman" w:cs="Times New Roman"/>
          <w:lang w:val="en-US"/>
        </w:rPr>
        <w:t xml:space="preserve">is an important pest of oilseed rape particularly in Western Europe. The larvae are up to 3 mm long and white with brown </w:t>
      </w:r>
      <w:proofErr w:type="spellStart"/>
      <w:r w:rsidRPr="001C6161">
        <w:rPr>
          <w:rFonts w:ascii="Times New Roman" w:hAnsi="Times New Roman" w:cs="Times New Roman"/>
          <w:lang w:val="en-US"/>
        </w:rPr>
        <w:t>sclerotised</w:t>
      </w:r>
      <w:proofErr w:type="spellEnd"/>
      <w:r w:rsidRPr="001C6161">
        <w:rPr>
          <w:rFonts w:ascii="Times New Roman" w:hAnsi="Times New Roman" w:cs="Times New Roman"/>
          <w:lang w:val="en-US"/>
        </w:rPr>
        <w:t xml:space="preserve"> plates. Eggs are laid in the flower buds of the host-plant</w:t>
      </w:r>
      <w:r w:rsidR="000D3B7D">
        <w:rPr>
          <w:rFonts w:ascii="Times New Roman" w:hAnsi="Times New Roman" w:cs="Times New Roman"/>
          <w:lang w:val="en-US"/>
        </w:rPr>
        <w:t>. T</w:t>
      </w:r>
      <w:r w:rsidRPr="001C6161">
        <w:rPr>
          <w:rFonts w:ascii="Times New Roman" w:hAnsi="Times New Roman" w:cs="Times New Roman"/>
          <w:lang w:val="en-US"/>
        </w:rPr>
        <w:t>he larvae develop within the flowers. Oviposition damage to the buds of oilseed rape can cause the flowers to drop off. Both adults and larvae feed on the pollen and nectar in the flowers.</w:t>
      </w:r>
    </w:p>
    <w:p w:rsidR="006E7516" w:rsidRPr="001C6161" w:rsidRDefault="006E7516" w:rsidP="001F1F59">
      <w:pPr>
        <w:jc w:val="both"/>
        <w:rPr>
          <w:rFonts w:ascii="Times New Roman" w:hAnsi="Times New Roman" w:cs="Times New Roman"/>
          <w:lang w:val="en-US"/>
        </w:rPr>
      </w:pPr>
      <w:r w:rsidRPr="001C6161">
        <w:rPr>
          <w:rFonts w:ascii="Times New Roman" w:hAnsi="Times New Roman" w:cs="Times New Roman"/>
          <w:lang w:val="en-US"/>
        </w:rPr>
        <w:t xml:space="preserve">Resistance to pyrethroids has been reported in this species since 1999, especially against λ-cyhalothrin. Initial reports suggest that pyrethroid resistance first occurred in North East France and over the following years has spread to other countries in Europe. Investigations into the mechanism of resistance has primarily identified enhanced metabolism by P450 monooxygenases as the prime mechanism of resistance to pyrethroids. More </w:t>
      </w:r>
      <w:r w:rsidR="00EE2A98" w:rsidRPr="001C6161">
        <w:rPr>
          <w:rFonts w:ascii="Times New Roman" w:hAnsi="Times New Roman" w:cs="Times New Roman"/>
          <w:lang w:val="en-US"/>
        </w:rPr>
        <w:t>recently,</w:t>
      </w:r>
      <w:r w:rsidRPr="001C6161">
        <w:rPr>
          <w:rFonts w:ascii="Times New Roman" w:hAnsi="Times New Roman" w:cs="Times New Roman"/>
          <w:lang w:val="en-US"/>
        </w:rPr>
        <w:t xml:space="preserve"> a target site mutation has been identified in some </w:t>
      </w:r>
      <w:r w:rsidR="009A4BAF" w:rsidRPr="001C6161">
        <w:rPr>
          <w:rFonts w:ascii="Times New Roman" w:hAnsi="Times New Roman" w:cs="Times New Roman"/>
          <w:lang w:val="en-US"/>
        </w:rPr>
        <w:t xml:space="preserve">λ-cyhalothrin </w:t>
      </w:r>
      <w:r w:rsidRPr="001C6161">
        <w:rPr>
          <w:rFonts w:ascii="Times New Roman" w:hAnsi="Times New Roman" w:cs="Times New Roman"/>
          <w:lang w:val="en-US"/>
        </w:rPr>
        <w:t>resistant populations from Denmark and Sweden</w:t>
      </w:r>
      <w:r w:rsidR="00094931" w:rsidRPr="001C6161">
        <w:rPr>
          <w:rStyle w:val="FootnoteReference"/>
          <w:rFonts w:ascii="Times New Roman" w:hAnsi="Times New Roman" w:cs="Times New Roman"/>
          <w:lang w:val="en-US"/>
        </w:rPr>
        <w:footnoteReference w:id="1"/>
      </w:r>
      <w:r w:rsidRPr="001C6161">
        <w:rPr>
          <w:rFonts w:ascii="Times New Roman" w:hAnsi="Times New Roman" w:cs="Times New Roman"/>
          <w:lang w:val="en-US"/>
        </w:rPr>
        <w:t>.</w:t>
      </w:r>
    </w:p>
    <w:p w:rsidR="006E7516" w:rsidRPr="001C6161" w:rsidRDefault="006E7516" w:rsidP="001F1F59">
      <w:pPr>
        <w:jc w:val="both"/>
        <w:rPr>
          <w:rFonts w:ascii="Times New Roman" w:hAnsi="Times New Roman" w:cs="Times New Roman"/>
          <w:lang w:val="en-US"/>
        </w:rPr>
      </w:pPr>
    </w:p>
    <w:p w:rsidR="00DC7477" w:rsidRPr="001C6161" w:rsidRDefault="006E7516" w:rsidP="001F1F59">
      <w:pPr>
        <w:pStyle w:val="Heading3"/>
        <w:jc w:val="both"/>
        <w:rPr>
          <w:rFonts w:ascii="Times New Roman" w:hAnsi="Times New Roman" w:cs="Times New Roman"/>
          <w:b/>
          <w:color w:val="auto"/>
          <w:lang w:val="en-US"/>
        </w:rPr>
      </w:pPr>
      <w:r w:rsidRPr="001C6161">
        <w:rPr>
          <w:rFonts w:ascii="Times New Roman" w:hAnsi="Times New Roman" w:cs="Times New Roman"/>
          <w:b/>
          <w:color w:val="auto"/>
          <w:lang w:val="en-US"/>
        </w:rPr>
        <w:t>Method 011 (</w:t>
      </w:r>
      <w:r w:rsidR="00C828EB">
        <w:rPr>
          <w:rFonts w:ascii="Times New Roman" w:hAnsi="Times New Roman" w:cs="Times New Roman"/>
          <w:b/>
          <w:color w:val="auto"/>
          <w:lang w:val="en-US"/>
        </w:rPr>
        <w:t xml:space="preserve">synthetic </w:t>
      </w:r>
      <w:proofErr w:type="spellStart"/>
      <w:r w:rsidR="00C828EB">
        <w:rPr>
          <w:rFonts w:ascii="Times New Roman" w:hAnsi="Times New Roman" w:cs="Times New Roman"/>
          <w:b/>
          <w:color w:val="auto"/>
          <w:lang w:val="en-US"/>
        </w:rPr>
        <w:t>pyrethroids</w:t>
      </w:r>
      <w:proofErr w:type="spellEnd"/>
      <w:r w:rsidRPr="001C6161">
        <w:rPr>
          <w:rFonts w:ascii="Times New Roman" w:hAnsi="Times New Roman" w:cs="Times New Roman"/>
          <w:b/>
          <w:color w:val="auto"/>
          <w:lang w:val="en-US"/>
        </w:rPr>
        <w:t>)</w:t>
      </w:r>
    </w:p>
    <w:p w:rsidR="00662FEF" w:rsidRPr="001C6161" w:rsidRDefault="006E7516" w:rsidP="000D3B7D">
      <w:pPr>
        <w:jc w:val="both"/>
        <w:rPr>
          <w:rFonts w:ascii="Times New Roman" w:hAnsi="Times New Roman" w:cs="Times New Roman"/>
          <w:lang w:val="en-US"/>
        </w:rPr>
      </w:pPr>
      <w:r w:rsidRPr="001C6161">
        <w:rPr>
          <w:rFonts w:ascii="Times New Roman" w:hAnsi="Times New Roman" w:cs="Times New Roman"/>
          <w:lang w:val="en-US"/>
        </w:rPr>
        <w:t>Method 011</w:t>
      </w:r>
      <w:r w:rsidR="00DE332F" w:rsidRPr="001C6161">
        <w:rPr>
          <w:rFonts w:ascii="Times New Roman" w:hAnsi="Times New Roman" w:cs="Times New Roman"/>
          <w:lang w:val="en-US"/>
        </w:rPr>
        <w:t xml:space="preserve"> tests the effect of </w:t>
      </w:r>
      <w:r w:rsidR="000D3B7D">
        <w:rPr>
          <w:rFonts w:ascii="Times New Roman" w:hAnsi="Times New Roman" w:cs="Times New Roman"/>
          <w:lang w:val="en-US"/>
        </w:rPr>
        <w:t xml:space="preserve">synthetic </w:t>
      </w:r>
      <w:proofErr w:type="spellStart"/>
      <w:r w:rsidR="00DE332F" w:rsidRPr="001C6161">
        <w:rPr>
          <w:rFonts w:ascii="Times New Roman" w:hAnsi="Times New Roman" w:cs="Times New Roman"/>
          <w:lang w:val="en-US"/>
        </w:rPr>
        <w:t>pyrethroid</w:t>
      </w:r>
      <w:r w:rsidR="000D3B7D">
        <w:rPr>
          <w:rFonts w:ascii="Times New Roman" w:hAnsi="Times New Roman" w:cs="Times New Roman"/>
          <w:lang w:val="en-US"/>
        </w:rPr>
        <w:t>s</w:t>
      </w:r>
      <w:proofErr w:type="spellEnd"/>
      <w:r w:rsidR="000D3B7D">
        <w:rPr>
          <w:rFonts w:ascii="Times New Roman" w:hAnsi="Times New Roman" w:cs="Times New Roman"/>
          <w:lang w:val="en-US"/>
        </w:rPr>
        <w:t>, such as</w:t>
      </w:r>
      <w:r w:rsidR="00DE332F" w:rsidRPr="001C6161">
        <w:rPr>
          <w:rFonts w:ascii="Times New Roman" w:hAnsi="Times New Roman" w:cs="Times New Roman"/>
          <w:lang w:val="en-US"/>
        </w:rPr>
        <w:t xml:space="preserve"> λ-cyhalothrin </w:t>
      </w:r>
      <w:r w:rsidR="001C3E85">
        <w:rPr>
          <w:rFonts w:ascii="Times New Roman" w:hAnsi="Times New Roman" w:cs="Times New Roman"/>
          <w:lang w:val="en-US"/>
        </w:rPr>
        <w:t>(Karate®)</w:t>
      </w:r>
      <w:r w:rsidR="00AA4EF8">
        <w:rPr>
          <w:rFonts w:ascii="Times New Roman" w:hAnsi="Times New Roman" w:cs="Times New Roman"/>
          <w:lang w:val="en-US"/>
        </w:rPr>
        <w:t xml:space="preserve"> or </w:t>
      </w:r>
      <w:r w:rsidR="00AA4EF8" w:rsidRPr="00303A53">
        <w:rPr>
          <w:rFonts w:ascii="Times New Roman" w:hAnsi="Times New Roman" w:cs="Times New Roman"/>
          <w:lang w:val="en-US"/>
        </w:rPr>
        <w:t>τ-</w:t>
      </w:r>
      <w:proofErr w:type="spellStart"/>
      <w:r w:rsidR="00AA4EF8" w:rsidRPr="00303A53">
        <w:rPr>
          <w:rFonts w:ascii="Times New Roman" w:hAnsi="Times New Roman" w:cs="Times New Roman"/>
          <w:lang w:val="en-US"/>
        </w:rPr>
        <w:t>fluvalinate</w:t>
      </w:r>
      <w:proofErr w:type="spellEnd"/>
      <w:r w:rsidR="00AA4EF8">
        <w:rPr>
          <w:rFonts w:ascii="Times New Roman" w:hAnsi="Times New Roman" w:cs="Times New Roman"/>
          <w:lang w:val="en-US"/>
        </w:rPr>
        <w:t xml:space="preserve"> (</w:t>
      </w:r>
      <w:proofErr w:type="spellStart"/>
      <w:r w:rsidR="00AA4EF8">
        <w:rPr>
          <w:rFonts w:ascii="Times New Roman" w:hAnsi="Times New Roman" w:cs="Times New Roman"/>
          <w:lang w:val="en-US"/>
        </w:rPr>
        <w:t>Mavrik</w:t>
      </w:r>
      <w:proofErr w:type="spellEnd"/>
      <w:r w:rsidR="00AA4EF8">
        <w:rPr>
          <w:rFonts w:ascii="Times New Roman" w:hAnsi="Times New Roman" w:cs="Times New Roman"/>
          <w:lang w:val="en-US"/>
        </w:rPr>
        <w:t>®)</w:t>
      </w:r>
      <w:r w:rsidR="000D3B7D">
        <w:rPr>
          <w:rFonts w:ascii="Times New Roman" w:hAnsi="Times New Roman" w:cs="Times New Roman"/>
          <w:lang w:val="en-US"/>
        </w:rPr>
        <w:t>,</w:t>
      </w:r>
      <w:r w:rsidR="001C3E85">
        <w:rPr>
          <w:rFonts w:ascii="Times New Roman" w:hAnsi="Times New Roman" w:cs="Times New Roman"/>
          <w:lang w:val="en-US"/>
        </w:rPr>
        <w:t xml:space="preserve"> </w:t>
      </w:r>
      <w:r w:rsidR="00DE332F" w:rsidRPr="001C6161">
        <w:rPr>
          <w:rFonts w:ascii="Times New Roman" w:hAnsi="Times New Roman" w:cs="Times New Roman"/>
          <w:lang w:val="en-US"/>
        </w:rPr>
        <w:t>on pollen beetles in a laboratory setting</w:t>
      </w:r>
      <w:r w:rsidR="000D3B7D">
        <w:rPr>
          <w:rFonts w:ascii="Times New Roman" w:hAnsi="Times New Roman" w:cs="Times New Roman"/>
          <w:lang w:val="en-US"/>
        </w:rPr>
        <w:t xml:space="preserve">. It </w:t>
      </w:r>
      <w:r w:rsidRPr="001C6161">
        <w:rPr>
          <w:rFonts w:ascii="Times New Roman" w:hAnsi="Times New Roman" w:cs="Times New Roman"/>
          <w:lang w:val="en-US"/>
        </w:rPr>
        <w:t xml:space="preserve">is widely used for monitoring </w:t>
      </w:r>
      <w:r w:rsidR="00DE332F" w:rsidRPr="001C6161">
        <w:rPr>
          <w:rFonts w:ascii="Times New Roman" w:hAnsi="Times New Roman" w:cs="Times New Roman"/>
          <w:lang w:val="en-US"/>
        </w:rPr>
        <w:t xml:space="preserve">of sensitivity of </w:t>
      </w:r>
      <w:r w:rsidR="00DE332F" w:rsidRPr="001C6161">
        <w:rPr>
          <w:rFonts w:ascii="Times New Roman" w:hAnsi="Times New Roman" w:cs="Times New Roman"/>
          <w:i/>
          <w:lang w:val="en-US"/>
        </w:rPr>
        <w:t>M. aeneus</w:t>
      </w:r>
      <w:r w:rsidRPr="001C6161">
        <w:rPr>
          <w:rFonts w:ascii="Times New Roman" w:hAnsi="Times New Roman" w:cs="Times New Roman"/>
          <w:lang w:val="en-US"/>
        </w:rPr>
        <w:t xml:space="preserve"> throughout Europe.</w:t>
      </w:r>
      <w:r w:rsidR="00DE332F" w:rsidRPr="001C6161">
        <w:rPr>
          <w:rFonts w:ascii="Times New Roman" w:hAnsi="Times New Roman" w:cs="Times New Roman"/>
          <w:lang w:val="en-US"/>
        </w:rPr>
        <w:t xml:space="preserve"> Beetles are placed in glass vials coated with λ-cyhalothrin</w:t>
      </w:r>
      <w:r w:rsidR="00F35242" w:rsidRPr="001C6161">
        <w:rPr>
          <w:rFonts w:ascii="Times New Roman" w:hAnsi="Times New Roman" w:cs="Times New Roman"/>
          <w:lang w:val="en-US"/>
        </w:rPr>
        <w:t xml:space="preserve"> for 24 hours, after which number</w:t>
      </w:r>
      <w:r w:rsidR="00DE332F" w:rsidRPr="001C6161">
        <w:rPr>
          <w:rFonts w:ascii="Times New Roman" w:hAnsi="Times New Roman" w:cs="Times New Roman"/>
          <w:lang w:val="en-US"/>
        </w:rPr>
        <w:t xml:space="preserve"> of affected an</w:t>
      </w:r>
      <w:r w:rsidR="000D3B7D">
        <w:rPr>
          <w:rFonts w:ascii="Times New Roman" w:hAnsi="Times New Roman" w:cs="Times New Roman"/>
          <w:lang w:val="en-US"/>
        </w:rPr>
        <w:t>d alive beetles are noted and %</w:t>
      </w:r>
      <w:r w:rsidR="00DE332F" w:rsidRPr="001C6161">
        <w:rPr>
          <w:rFonts w:ascii="Times New Roman" w:hAnsi="Times New Roman" w:cs="Times New Roman"/>
          <w:lang w:val="en-US"/>
        </w:rPr>
        <w:t xml:space="preserve">affected beetles is calculated. </w:t>
      </w:r>
      <w:r w:rsidR="00F35242" w:rsidRPr="001C6161">
        <w:rPr>
          <w:rFonts w:ascii="Times New Roman" w:hAnsi="Times New Roman" w:cs="Times New Roman"/>
          <w:lang w:val="en-US"/>
        </w:rPr>
        <w:t xml:space="preserve">Glass vials coated with acetone functions as control treatment. </w:t>
      </w:r>
      <w:r w:rsidR="000D3B7D">
        <w:rPr>
          <w:rFonts w:ascii="Times New Roman" w:hAnsi="Times New Roman" w:cs="Times New Roman"/>
          <w:lang w:val="en-US"/>
        </w:rPr>
        <w:t xml:space="preserve">To </w:t>
      </w:r>
      <w:r w:rsidR="000D3B7D" w:rsidRPr="001C6161">
        <w:rPr>
          <w:rFonts w:ascii="Times New Roman" w:hAnsi="Times New Roman" w:cs="Times New Roman"/>
          <w:lang w:val="en-US"/>
        </w:rPr>
        <w:t>ensure movement</w:t>
      </w:r>
      <w:r w:rsidR="000D3B7D">
        <w:rPr>
          <w:rFonts w:ascii="Times New Roman" w:hAnsi="Times New Roman" w:cs="Times New Roman"/>
          <w:lang w:val="en-US"/>
        </w:rPr>
        <w:t xml:space="preserve">, pollen beetles should be exposed to light during the </w:t>
      </w:r>
      <w:r w:rsidR="00F35242" w:rsidRPr="001C6161">
        <w:rPr>
          <w:rFonts w:ascii="Times New Roman" w:hAnsi="Times New Roman" w:cs="Times New Roman"/>
          <w:lang w:val="en-US"/>
        </w:rPr>
        <w:t>experiment</w:t>
      </w:r>
      <w:r w:rsidR="000D3B7D">
        <w:rPr>
          <w:rFonts w:ascii="Times New Roman" w:hAnsi="Times New Roman" w:cs="Times New Roman"/>
          <w:lang w:val="en-US"/>
        </w:rPr>
        <w:t>.</w:t>
      </w:r>
      <w:r w:rsidR="00F35242" w:rsidRPr="001C6161">
        <w:rPr>
          <w:rFonts w:ascii="Times New Roman" w:hAnsi="Times New Roman" w:cs="Times New Roman"/>
          <w:lang w:val="en-US"/>
        </w:rPr>
        <w:t xml:space="preserve"> Beetle populations are classified into 5 susceptibility levels, ranging from highly susceptible to highly resistant. </w:t>
      </w:r>
      <w:r w:rsidR="00EE2A98" w:rsidRPr="001C6161">
        <w:rPr>
          <w:rFonts w:ascii="Times New Roman" w:hAnsi="Times New Roman" w:cs="Times New Roman"/>
          <w:lang w:val="en-US"/>
        </w:rPr>
        <w:t xml:space="preserve">This classification will be used in this report. </w:t>
      </w:r>
      <w:r w:rsidR="009E0D25" w:rsidRPr="001C6161">
        <w:rPr>
          <w:rFonts w:ascii="Times New Roman" w:hAnsi="Times New Roman" w:cs="Times New Roman"/>
          <w:lang w:val="en-US"/>
        </w:rPr>
        <w:t xml:space="preserve">Classification of susceptibility levels depends on the effect of </w:t>
      </w:r>
      <w:r w:rsidR="00AA4EF8" w:rsidRPr="001C6161">
        <w:rPr>
          <w:rFonts w:ascii="Times New Roman" w:hAnsi="Times New Roman" w:cs="Times New Roman"/>
          <w:lang w:val="en-US"/>
        </w:rPr>
        <w:t xml:space="preserve">20% and 100% field rate </w:t>
      </w:r>
      <w:r w:rsidR="00F35242" w:rsidRPr="001C6161">
        <w:rPr>
          <w:rFonts w:ascii="Times New Roman" w:hAnsi="Times New Roman" w:cs="Times New Roman"/>
          <w:lang w:val="en-US"/>
        </w:rPr>
        <w:t>on pollen beetle samples.</w:t>
      </w:r>
    </w:p>
    <w:p w:rsidR="00F35242" w:rsidRPr="001C6161" w:rsidRDefault="00F35242" w:rsidP="001F1F59">
      <w:pPr>
        <w:jc w:val="both"/>
        <w:rPr>
          <w:rFonts w:ascii="Times New Roman" w:hAnsi="Times New Roman" w:cs="Times New Roman"/>
          <w:lang w:val="en-US"/>
        </w:rPr>
      </w:pPr>
    </w:p>
    <w:tbl>
      <w:tblPr>
        <w:tblStyle w:val="TableGrid"/>
        <w:tblW w:w="0" w:type="auto"/>
        <w:tblLayout w:type="fixed"/>
        <w:tblLook w:val="04A0" w:firstRow="1" w:lastRow="0" w:firstColumn="1" w:lastColumn="0" w:noHBand="0" w:noVBand="1"/>
      </w:tblPr>
      <w:tblGrid>
        <w:gridCol w:w="1508"/>
        <w:gridCol w:w="1429"/>
        <w:gridCol w:w="1133"/>
        <w:gridCol w:w="2407"/>
      </w:tblGrid>
      <w:tr w:rsidR="00AA4EF8" w:rsidRPr="001C6161" w:rsidTr="00AA4EF8">
        <w:tc>
          <w:tcPr>
            <w:tcW w:w="2937" w:type="dxa"/>
            <w:gridSpan w:val="2"/>
            <w:vAlign w:val="center"/>
          </w:tcPr>
          <w:p w:rsidR="00AA4EF8" w:rsidRPr="001C6161" w:rsidRDefault="00AA4EF8" w:rsidP="009828E8">
            <w:pPr>
              <w:jc w:val="center"/>
              <w:rPr>
                <w:rFonts w:ascii="Times New Roman" w:hAnsi="Times New Roman" w:cs="Times New Roman"/>
                <w:b/>
                <w:lang w:val="en-US"/>
              </w:rPr>
            </w:pPr>
            <w:r w:rsidRPr="001C6161">
              <w:rPr>
                <w:rFonts w:ascii="Times New Roman" w:hAnsi="Times New Roman" w:cs="Times New Roman"/>
                <w:b/>
                <w:lang w:val="en-US"/>
              </w:rPr>
              <w:lastRenderedPageBreak/>
              <w:t>Dose rate (ng/cm</w:t>
            </w:r>
            <w:r>
              <w:rPr>
                <w:rFonts w:ascii="Times New Roman" w:hAnsi="Times New Roman" w:cs="Times New Roman"/>
                <w:b/>
                <w:vertAlign w:val="superscript"/>
                <w:lang w:val="en-US"/>
              </w:rPr>
              <w:t>2</w:t>
            </w:r>
            <w:r w:rsidRPr="001C6161">
              <w:rPr>
                <w:rFonts w:ascii="Times New Roman" w:hAnsi="Times New Roman" w:cs="Times New Roman"/>
                <w:b/>
                <w:lang w:val="en-US"/>
              </w:rPr>
              <w:t>)</w:t>
            </w:r>
          </w:p>
        </w:tc>
        <w:tc>
          <w:tcPr>
            <w:tcW w:w="1133" w:type="dxa"/>
            <w:vAlign w:val="center"/>
          </w:tcPr>
          <w:p w:rsidR="00AA4EF8" w:rsidRPr="001C6161" w:rsidRDefault="00AA4EF8" w:rsidP="009828E8">
            <w:pPr>
              <w:jc w:val="center"/>
              <w:rPr>
                <w:rFonts w:ascii="Times New Roman" w:hAnsi="Times New Roman" w:cs="Times New Roman"/>
                <w:b/>
                <w:lang w:val="en-US"/>
              </w:rPr>
            </w:pPr>
            <w:r w:rsidRPr="001C6161">
              <w:rPr>
                <w:rFonts w:ascii="Times New Roman" w:hAnsi="Times New Roman" w:cs="Times New Roman"/>
                <w:b/>
                <w:lang w:val="en-US"/>
              </w:rPr>
              <w:t>Affected</w:t>
            </w:r>
          </w:p>
        </w:tc>
        <w:tc>
          <w:tcPr>
            <w:tcW w:w="2407" w:type="dxa"/>
            <w:vAlign w:val="center"/>
          </w:tcPr>
          <w:p w:rsidR="00AA4EF8" w:rsidRPr="001C6161" w:rsidRDefault="00AA4EF8" w:rsidP="009828E8">
            <w:pPr>
              <w:jc w:val="center"/>
              <w:rPr>
                <w:rFonts w:ascii="Times New Roman" w:hAnsi="Times New Roman" w:cs="Times New Roman"/>
                <w:b/>
                <w:lang w:val="en-US"/>
              </w:rPr>
            </w:pPr>
            <w:r w:rsidRPr="001C6161">
              <w:rPr>
                <w:rFonts w:ascii="Times New Roman" w:hAnsi="Times New Roman" w:cs="Times New Roman"/>
                <w:b/>
                <w:lang w:val="en-US"/>
              </w:rPr>
              <w:t>Classification</w:t>
            </w:r>
          </w:p>
        </w:tc>
      </w:tr>
      <w:tr w:rsidR="00AA4EF8" w:rsidRPr="001C6161" w:rsidTr="00AA4EF8">
        <w:tc>
          <w:tcPr>
            <w:tcW w:w="1508" w:type="dxa"/>
            <w:vAlign w:val="center"/>
          </w:tcPr>
          <w:p w:rsidR="00AA4EF8" w:rsidRPr="001C6161" w:rsidRDefault="00AA4EF8" w:rsidP="00AA4EF8">
            <w:pPr>
              <w:jc w:val="center"/>
              <w:rPr>
                <w:rFonts w:ascii="Times New Roman" w:hAnsi="Times New Roman" w:cs="Times New Roman"/>
                <w:b/>
                <w:lang w:val="en-US"/>
              </w:rPr>
            </w:pPr>
            <w:r w:rsidRPr="001C6161">
              <w:rPr>
                <w:rFonts w:ascii="Times New Roman" w:hAnsi="Times New Roman" w:cs="Times New Roman"/>
                <w:lang w:val="en-US"/>
              </w:rPr>
              <w:t>λ-cyhalothrin</w:t>
            </w:r>
          </w:p>
        </w:tc>
        <w:tc>
          <w:tcPr>
            <w:tcW w:w="1429" w:type="dxa"/>
            <w:vAlign w:val="center"/>
          </w:tcPr>
          <w:p w:rsidR="00AA4EF8" w:rsidRPr="001C6161" w:rsidRDefault="00AA4EF8" w:rsidP="00AA4EF8">
            <w:pPr>
              <w:jc w:val="center"/>
              <w:rPr>
                <w:rFonts w:ascii="Times New Roman" w:hAnsi="Times New Roman" w:cs="Times New Roman"/>
                <w:b/>
                <w:lang w:val="en-US"/>
              </w:rPr>
            </w:pPr>
            <w:r w:rsidRPr="00303A53">
              <w:rPr>
                <w:rFonts w:ascii="Times New Roman" w:hAnsi="Times New Roman" w:cs="Times New Roman"/>
                <w:lang w:val="en-US"/>
              </w:rPr>
              <w:t>τ-</w:t>
            </w:r>
            <w:proofErr w:type="spellStart"/>
            <w:r w:rsidRPr="00303A53">
              <w:rPr>
                <w:rFonts w:ascii="Times New Roman" w:hAnsi="Times New Roman" w:cs="Times New Roman"/>
                <w:lang w:val="en-US"/>
              </w:rPr>
              <w:t>fluvalinate</w:t>
            </w:r>
            <w:proofErr w:type="spellEnd"/>
          </w:p>
        </w:tc>
        <w:tc>
          <w:tcPr>
            <w:tcW w:w="1133" w:type="dxa"/>
            <w:vAlign w:val="center"/>
          </w:tcPr>
          <w:p w:rsidR="00AA4EF8" w:rsidRPr="001C6161" w:rsidRDefault="00AA4EF8" w:rsidP="00AA4EF8">
            <w:pPr>
              <w:jc w:val="center"/>
              <w:rPr>
                <w:rFonts w:ascii="Times New Roman" w:hAnsi="Times New Roman" w:cs="Times New Roman"/>
                <w:b/>
                <w:lang w:val="en-US"/>
              </w:rPr>
            </w:pPr>
          </w:p>
        </w:tc>
        <w:tc>
          <w:tcPr>
            <w:tcW w:w="2407" w:type="dxa"/>
            <w:vAlign w:val="center"/>
          </w:tcPr>
          <w:p w:rsidR="00AA4EF8" w:rsidRPr="001C6161" w:rsidRDefault="00AA4EF8" w:rsidP="00AA4EF8">
            <w:pPr>
              <w:jc w:val="center"/>
              <w:rPr>
                <w:rFonts w:ascii="Times New Roman" w:hAnsi="Times New Roman" w:cs="Times New Roman"/>
                <w:b/>
                <w:lang w:val="en-US"/>
              </w:rPr>
            </w:pPr>
          </w:p>
        </w:tc>
      </w:tr>
      <w:tr w:rsidR="00AA4EF8" w:rsidRPr="001C6161" w:rsidTr="00AA4EF8">
        <w:tc>
          <w:tcPr>
            <w:tcW w:w="1508" w:type="dxa"/>
            <w:shd w:val="clear" w:color="auto" w:fill="00B050"/>
            <w:vAlign w:val="center"/>
          </w:tcPr>
          <w:p w:rsidR="00AA4EF8" w:rsidRPr="001C6161" w:rsidRDefault="00AA4EF8" w:rsidP="00AA4EF8">
            <w:pPr>
              <w:jc w:val="center"/>
              <w:rPr>
                <w:rFonts w:ascii="Times New Roman" w:hAnsi="Times New Roman" w:cs="Times New Roman"/>
                <w:lang w:val="en-US"/>
              </w:rPr>
            </w:pPr>
            <w:r w:rsidRPr="001C6161">
              <w:rPr>
                <w:rFonts w:ascii="Times New Roman" w:hAnsi="Times New Roman" w:cs="Times New Roman"/>
                <w:lang w:val="en-US"/>
              </w:rPr>
              <w:t>75</w:t>
            </w:r>
          </w:p>
        </w:tc>
        <w:tc>
          <w:tcPr>
            <w:tcW w:w="1429" w:type="dxa"/>
            <w:shd w:val="clear" w:color="auto" w:fill="00B05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480</w:t>
            </w:r>
          </w:p>
        </w:tc>
        <w:tc>
          <w:tcPr>
            <w:tcW w:w="1133" w:type="dxa"/>
            <w:shd w:val="clear" w:color="auto" w:fill="00B05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100%</w:t>
            </w:r>
          </w:p>
        </w:tc>
        <w:tc>
          <w:tcPr>
            <w:tcW w:w="2407" w:type="dxa"/>
            <w:vMerge w:val="restart"/>
            <w:shd w:val="clear" w:color="auto" w:fill="00B05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Highly susceptible</w:t>
            </w:r>
          </w:p>
        </w:tc>
      </w:tr>
      <w:tr w:rsidR="00AA4EF8" w:rsidRPr="001C6161" w:rsidTr="00AA4EF8">
        <w:tc>
          <w:tcPr>
            <w:tcW w:w="1508" w:type="dxa"/>
            <w:shd w:val="clear" w:color="auto" w:fill="00B050"/>
            <w:vAlign w:val="center"/>
          </w:tcPr>
          <w:p w:rsidR="00AA4EF8" w:rsidRPr="001C6161" w:rsidRDefault="00AA4EF8" w:rsidP="00AA4EF8">
            <w:pPr>
              <w:jc w:val="center"/>
              <w:rPr>
                <w:rFonts w:ascii="Times New Roman" w:hAnsi="Times New Roman" w:cs="Times New Roman"/>
                <w:lang w:val="en-US"/>
              </w:rPr>
            </w:pPr>
            <w:r w:rsidRPr="001C6161">
              <w:rPr>
                <w:rFonts w:ascii="Times New Roman" w:hAnsi="Times New Roman" w:cs="Times New Roman"/>
                <w:lang w:val="en-US"/>
              </w:rPr>
              <w:t>15</w:t>
            </w:r>
          </w:p>
        </w:tc>
        <w:tc>
          <w:tcPr>
            <w:tcW w:w="1429" w:type="dxa"/>
            <w:shd w:val="clear" w:color="auto" w:fill="00B05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96</w:t>
            </w:r>
          </w:p>
        </w:tc>
        <w:tc>
          <w:tcPr>
            <w:tcW w:w="1133" w:type="dxa"/>
            <w:shd w:val="clear" w:color="auto" w:fill="00B05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100%</w:t>
            </w:r>
          </w:p>
        </w:tc>
        <w:tc>
          <w:tcPr>
            <w:tcW w:w="2407" w:type="dxa"/>
            <w:vMerge/>
            <w:shd w:val="clear" w:color="auto" w:fill="00B050"/>
            <w:vAlign w:val="center"/>
          </w:tcPr>
          <w:p w:rsidR="00AA4EF8" w:rsidRPr="001C6161" w:rsidRDefault="00AA4EF8" w:rsidP="00AA4EF8">
            <w:pPr>
              <w:jc w:val="both"/>
              <w:rPr>
                <w:rFonts w:ascii="Times New Roman" w:hAnsi="Times New Roman" w:cs="Times New Roman"/>
                <w:lang w:val="en-US"/>
              </w:rPr>
            </w:pPr>
          </w:p>
        </w:tc>
      </w:tr>
      <w:tr w:rsidR="00AA4EF8" w:rsidRPr="001C6161" w:rsidTr="00AA4EF8">
        <w:tc>
          <w:tcPr>
            <w:tcW w:w="1508" w:type="dxa"/>
            <w:shd w:val="clear" w:color="auto" w:fill="92D050"/>
            <w:vAlign w:val="center"/>
          </w:tcPr>
          <w:p w:rsidR="00AA4EF8" w:rsidRPr="001C6161" w:rsidRDefault="00AA4EF8" w:rsidP="00AA4EF8">
            <w:pPr>
              <w:jc w:val="center"/>
              <w:rPr>
                <w:rFonts w:ascii="Times New Roman" w:hAnsi="Times New Roman" w:cs="Times New Roman"/>
                <w:lang w:val="en-US"/>
              </w:rPr>
            </w:pPr>
            <w:r w:rsidRPr="001C6161">
              <w:rPr>
                <w:rFonts w:ascii="Times New Roman" w:hAnsi="Times New Roman" w:cs="Times New Roman"/>
                <w:lang w:val="en-US"/>
              </w:rPr>
              <w:t>75</w:t>
            </w:r>
          </w:p>
        </w:tc>
        <w:tc>
          <w:tcPr>
            <w:tcW w:w="1429" w:type="dxa"/>
            <w:shd w:val="clear" w:color="auto" w:fill="92D05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480</w:t>
            </w:r>
          </w:p>
        </w:tc>
        <w:tc>
          <w:tcPr>
            <w:tcW w:w="1133" w:type="dxa"/>
            <w:shd w:val="clear" w:color="auto" w:fill="92D05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100%</w:t>
            </w:r>
          </w:p>
        </w:tc>
        <w:tc>
          <w:tcPr>
            <w:tcW w:w="2407" w:type="dxa"/>
            <w:vMerge w:val="restart"/>
            <w:shd w:val="clear" w:color="auto" w:fill="92D05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Susceptible</w:t>
            </w:r>
          </w:p>
        </w:tc>
      </w:tr>
      <w:tr w:rsidR="00AA4EF8" w:rsidRPr="001C6161" w:rsidTr="00AA4EF8">
        <w:tc>
          <w:tcPr>
            <w:tcW w:w="1508" w:type="dxa"/>
            <w:shd w:val="clear" w:color="auto" w:fill="92D050"/>
            <w:vAlign w:val="center"/>
          </w:tcPr>
          <w:p w:rsidR="00AA4EF8" w:rsidRPr="001C6161" w:rsidRDefault="00AA4EF8" w:rsidP="00AA4EF8">
            <w:pPr>
              <w:jc w:val="center"/>
              <w:rPr>
                <w:rFonts w:ascii="Times New Roman" w:hAnsi="Times New Roman" w:cs="Times New Roman"/>
                <w:lang w:val="en-US"/>
              </w:rPr>
            </w:pPr>
            <w:r w:rsidRPr="001C6161">
              <w:rPr>
                <w:rFonts w:ascii="Times New Roman" w:hAnsi="Times New Roman" w:cs="Times New Roman"/>
                <w:lang w:val="en-US"/>
              </w:rPr>
              <w:t>15</w:t>
            </w:r>
          </w:p>
        </w:tc>
        <w:tc>
          <w:tcPr>
            <w:tcW w:w="1429" w:type="dxa"/>
            <w:shd w:val="clear" w:color="auto" w:fill="92D05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96</w:t>
            </w:r>
          </w:p>
        </w:tc>
        <w:tc>
          <w:tcPr>
            <w:tcW w:w="1133" w:type="dxa"/>
            <w:shd w:val="clear" w:color="auto" w:fill="92D05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&lt;100%</w:t>
            </w:r>
          </w:p>
        </w:tc>
        <w:tc>
          <w:tcPr>
            <w:tcW w:w="2407" w:type="dxa"/>
            <w:vMerge/>
            <w:shd w:val="clear" w:color="auto" w:fill="92D050"/>
            <w:vAlign w:val="center"/>
          </w:tcPr>
          <w:p w:rsidR="00AA4EF8" w:rsidRPr="001C6161" w:rsidRDefault="00AA4EF8" w:rsidP="00AA4EF8">
            <w:pPr>
              <w:jc w:val="both"/>
              <w:rPr>
                <w:rFonts w:ascii="Times New Roman" w:hAnsi="Times New Roman" w:cs="Times New Roman"/>
                <w:lang w:val="en-US"/>
              </w:rPr>
            </w:pPr>
          </w:p>
        </w:tc>
      </w:tr>
      <w:tr w:rsidR="00AA4EF8" w:rsidRPr="001C6161" w:rsidTr="00AA4EF8">
        <w:tc>
          <w:tcPr>
            <w:tcW w:w="1508" w:type="dxa"/>
            <w:shd w:val="clear" w:color="auto" w:fill="FFFF00"/>
          </w:tcPr>
          <w:p w:rsidR="00AA4EF8" w:rsidRPr="001C6161" w:rsidRDefault="00AA4EF8" w:rsidP="00AA4EF8">
            <w:pPr>
              <w:jc w:val="center"/>
              <w:rPr>
                <w:rFonts w:ascii="Times New Roman" w:hAnsi="Times New Roman" w:cs="Times New Roman"/>
              </w:rPr>
            </w:pPr>
            <w:r w:rsidRPr="001C6161">
              <w:rPr>
                <w:rFonts w:ascii="Times New Roman" w:hAnsi="Times New Roman" w:cs="Times New Roman"/>
                <w:lang w:val="en-US"/>
              </w:rPr>
              <w:t>75</w:t>
            </w:r>
          </w:p>
        </w:tc>
        <w:tc>
          <w:tcPr>
            <w:tcW w:w="1429" w:type="dxa"/>
            <w:shd w:val="clear" w:color="auto" w:fill="FFFF0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480</w:t>
            </w:r>
          </w:p>
        </w:tc>
        <w:tc>
          <w:tcPr>
            <w:tcW w:w="1133" w:type="dxa"/>
            <w:shd w:val="clear" w:color="auto" w:fill="FFFF0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90-100%</w:t>
            </w:r>
          </w:p>
        </w:tc>
        <w:tc>
          <w:tcPr>
            <w:tcW w:w="2407" w:type="dxa"/>
            <w:shd w:val="clear" w:color="auto" w:fill="FFFF0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Moderately resistant</w:t>
            </w:r>
          </w:p>
        </w:tc>
      </w:tr>
      <w:tr w:rsidR="00AA4EF8" w:rsidRPr="001C6161" w:rsidTr="00AA4EF8">
        <w:tc>
          <w:tcPr>
            <w:tcW w:w="1508" w:type="dxa"/>
            <w:shd w:val="clear" w:color="auto" w:fill="FFC000"/>
          </w:tcPr>
          <w:p w:rsidR="00AA4EF8" w:rsidRPr="001C6161" w:rsidRDefault="00AA4EF8" w:rsidP="00AA4EF8">
            <w:pPr>
              <w:jc w:val="center"/>
              <w:rPr>
                <w:rFonts w:ascii="Times New Roman" w:hAnsi="Times New Roman" w:cs="Times New Roman"/>
              </w:rPr>
            </w:pPr>
            <w:r w:rsidRPr="001C6161">
              <w:rPr>
                <w:rFonts w:ascii="Times New Roman" w:hAnsi="Times New Roman" w:cs="Times New Roman"/>
                <w:lang w:val="en-US"/>
              </w:rPr>
              <w:t>75</w:t>
            </w:r>
          </w:p>
        </w:tc>
        <w:tc>
          <w:tcPr>
            <w:tcW w:w="1429" w:type="dxa"/>
            <w:shd w:val="clear" w:color="auto" w:fill="FFC00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480</w:t>
            </w:r>
          </w:p>
        </w:tc>
        <w:tc>
          <w:tcPr>
            <w:tcW w:w="1133" w:type="dxa"/>
            <w:shd w:val="clear" w:color="auto" w:fill="FFC00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50-90%</w:t>
            </w:r>
          </w:p>
        </w:tc>
        <w:tc>
          <w:tcPr>
            <w:tcW w:w="2407" w:type="dxa"/>
            <w:shd w:val="clear" w:color="auto" w:fill="FFC00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Resistant</w:t>
            </w:r>
          </w:p>
        </w:tc>
      </w:tr>
      <w:tr w:rsidR="00AA4EF8" w:rsidRPr="001C6161" w:rsidTr="00AA4EF8">
        <w:tc>
          <w:tcPr>
            <w:tcW w:w="1508" w:type="dxa"/>
            <w:shd w:val="clear" w:color="auto" w:fill="FF0000"/>
          </w:tcPr>
          <w:p w:rsidR="00AA4EF8" w:rsidRPr="001C6161" w:rsidRDefault="00AA4EF8" w:rsidP="00AA4EF8">
            <w:pPr>
              <w:jc w:val="center"/>
              <w:rPr>
                <w:rFonts w:ascii="Times New Roman" w:hAnsi="Times New Roman" w:cs="Times New Roman"/>
              </w:rPr>
            </w:pPr>
            <w:r w:rsidRPr="001C6161">
              <w:rPr>
                <w:rFonts w:ascii="Times New Roman" w:hAnsi="Times New Roman" w:cs="Times New Roman"/>
                <w:lang w:val="en-US"/>
              </w:rPr>
              <w:t>75</w:t>
            </w:r>
          </w:p>
        </w:tc>
        <w:tc>
          <w:tcPr>
            <w:tcW w:w="1429" w:type="dxa"/>
            <w:shd w:val="clear" w:color="auto" w:fill="FF0000"/>
          </w:tcPr>
          <w:p w:rsidR="00AA4EF8" w:rsidRPr="001C6161" w:rsidRDefault="00AA4EF8" w:rsidP="00AA4EF8">
            <w:pPr>
              <w:jc w:val="center"/>
              <w:rPr>
                <w:rFonts w:ascii="Times New Roman" w:hAnsi="Times New Roman" w:cs="Times New Roman"/>
                <w:lang w:val="en-US"/>
              </w:rPr>
            </w:pPr>
            <w:r>
              <w:rPr>
                <w:rFonts w:ascii="Times New Roman" w:hAnsi="Times New Roman" w:cs="Times New Roman"/>
                <w:lang w:val="en-US"/>
              </w:rPr>
              <w:t>480</w:t>
            </w:r>
          </w:p>
        </w:tc>
        <w:tc>
          <w:tcPr>
            <w:tcW w:w="1133" w:type="dxa"/>
            <w:shd w:val="clear" w:color="auto" w:fill="FF000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&lt;50%</w:t>
            </w:r>
          </w:p>
        </w:tc>
        <w:tc>
          <w:tcPr>
            <w:tcW w:w="2407" w:type="dxa"/>
            <w:shd w:val="clear" w:color="auto" w:fill="FF0000"/>
            <w:vAlign w:val="center"/>
          </w:tcPr>
          <w:p w:rsidR="00AA4EF8" w:rsidRPr="001C6161" w:rsidRDefault="00AA4EF8" w:rsidP="00AA4EF8">
            <w:pPr>
              <w:jc w:val="both"/>
              <w:rPr>
                <w:rFonts w:ascii="Times New Roman" w:hAnsi="Times New Roman" w:cs="Times New Roman"/>
                <w:lang w:val="en-US"/>
              </w:rPr>
            </w:pPr>
            <w:r w:rsidRPr="001C6161">
              <w:rPr>
                <w:rFonts w:ascii="Times New Roman" w:hAnsi="Times New Roman" w:cs="Times New Roman"/>
                <w:lang w:val="en-US"/>
              </w:rPr>
              <w:t>Highly resistant</w:t>
            </w:r>
          </w:p>
        </w:tc>
      </w:tr>
    </w:tbl>
    <w:p w:rsidR="00DC7477" w:rsidRPr="001C6161" w:rsidRDefault="00DC7477" w:rsidP="001F1F59">
      <w:pPr>
        <w:jc w:val="both"/>
        <w:rPr>
          <w:rFonts w:ascii="Times New Roman" w:hAnsi="Times New Roman" w:cs="Times New Roman"/>
          <w:lang w:val="en-US"/>
        </w:rPr>
      </w:pPr>
    </w:p>
    <w:p w:rsidR="00F35242" w:rsidRPr="001C6161" w:rsidRDefault="00851376" w:rsidP="001F1F59">
      <w:pPr>
        <w:jc w:val="both"/>
        <w:rPr>
          <w:rFonts w:ascii="Times New Roman" w:hAnsi="Times New Roman" w:cs="Times New Roman"/>
          <w:lang w:val="en-US"/>
        </w:rPr>
      </w:pPr>
      <w:r w:rsidRPr="001C6161">
        <w:rPr>
          <w:rFonts w:ascii="Times New Roman" w:hAnsi="Times New Roman" w:cs="Times New Roman"/>
          <w:lang w:val="en-US"/>
        </w:rPr>
        <w:t xml:space="preserve">Data was obtained from </w:t>
      </w:r>
      <w:r w:rsidR="00AA4EF8">
        <w:rPr>
          <w:rFonts w:ascii="Times New Roman" w:hAnsi="Times New Roman" w:cs="Times New Roman"/>
          <w:lang w:val="en-US"/>
        </w:rPr>
        <w:t>Latvia, Estonia, Lithuania, Denmark,</w:t>
      </w:r>
      <w:r w:rsidRPr="001C6161">
        <w:rPr>
          <w:rFonts w:ascii="Times New Roman" w:hAnsi="Times New Roman" w:cs="Times New Roman"/>
          <w:lang w:val="en-US"/>
        </w:rPr>
        <w:t xml:space="preserve"> Norway, Finland and Sweden. A total of </w:t>
      </w:r>
      <w:r w:rsidR="00AA4EF8">
        <w:rPr>
          <w:rFonts w:ascii="Times New Roman" w:hAnsi="Times New Roman" w:cs="Times New Roman"/>
          <w:lang w:val="en-US"/>
        </w:rPr>
        <w:t>57 and 30</w:t>
      </w:r>
      <w:r w:rsidRPr="001C6161">
        <w:rPr>
          <w:rFonts w:ascii="Times New Roman" w:hAnsi="Times New Roman" w:cs="Times New Roman"/>
          <w:lang w:val="en-US"/>
        </w:rPr>
        <w:t xml:space="preserve"> population samples were collected and tested in the lab</w:t>
      </w:r>
      <w:r w:rsidR="00AA4EF8">
        <w:rPr>
          <w:rFonts w:ascii="Times New Roman" w:hAnsi="Times New Roman" w:cs="Times New Roman"/>
          <w:lang w:val="en-US"/>
        </w:rPr>
        <w:t xml:space="preserve"> against </w:t>
      </w:r>
      <w:r w:rsidR="00AA4EF8" w:rsidRPr="001C6161">
        <w:rPr>
          <w:rFonts w:ascii="Times New Roman" w:hAnsi="Times New Roman" w:cs="Times New Roman"/>
          <w:lang w:val="en-US"/>
        </w:rPr>
        <w:t>λ-cyhalothrin</w:t>
      </w:r>
      <w:r w:rsidR="00AA4EF8">
        <w:rPr>
          <w:rFonts w:ascii="Times New Roman" w:hAnsi="Times New Roman" w:cs="Times New Roman"/>
          <w:lang w:val="en-US"/>
        </w:rPr>
        <w:t xml:space="preserve"> and </w:t>
      </w:r>
      <w:r w:rsidR="00AA4EF8" w:rsidRPr="00303A53">
        <w:rPr>
          <w:rFonts w:ascii="Times New Roman" w:hAnsi="Times New Roman" w:cs="Times New Roman"/>
          <w:lang w:val="en-US"/>
        </w:rPr>
        <w:t>τ-</w:t>
      </w:r>
      <w:proofErr w:type="spellStart"/>
      <w:r w:rsidR="00AA4EF8" w:rsidRPr="00303A53">
        <w:rPr>
          <w:rFonts w:ascii="Times New Roman" w:hAnsi="Times New Roman" w:cs="Times New Roman"/>
          <w:lang w:val="en-US"/>
        </w:rPr>
        <w:t>fluvalinate</w:t>
      </w:r>
      <w:proofErr w:type="spellEnd"/>
      <w:r w:rsidR="00AA4EF8">
        <w:rPr>
          <w:rFonts w:ascii="Times New Roman" w:hAnsi="Times New Roman" w:cs="Times New Roman"/>
          <w:lang w:val="en-US"/>
        </w:rPr>
        <w:t>, respectively</w:t>
      </w:r>
      <w:r w:rsidRPr="001C6161">
        <w:rPr>
          <w:rFonts w:ascii="Times New Roman" w:hAnsi="Times New Roman" w:cs="Times New Roman"/>
          <w:lang w:val="en-US"/>
        </w:rPr>
        <w:t>.</w:t>
      </w:r>
    </w:p>
    <w:p w:rsidR="00584EA1" w:rsidRDefault="00584EA1" w:rsidP="00AA4EF8">
      <w:pPr>
        <w:jc w:val="both"/>
        <w:rPr>
          <w:rFonts w:ascii="Times New Roman" w:hAnsi="Times New Roman" w:cs="Times New Roman"/>
          <w:b/>
          <w:lang w:val="en-US"/>
        </w:rPr>
      </w:pPr>
    </w:p>
    <w:p w:rsidR="00AA4EF8" w:rsidRPr="0047151B" w:rsidRDefault="00AA4EF8" w:rsidP="0047151B">
      <w:pPr>
        <w:pStyle w:val="Heading4"/>
        <w:rPr>
          <w:rFonts w:ascii="Times New Roman" w:hAnsi="Times New Roman" w:cs="Times New Roman"/>
          <w:b/>
          <w:i w:val="0"/>
          <w:color w:val="auto"/>
          <w:sz w:val="24"/>
          <w:lang w:val="en-US"/>
        </w:rPr>
      </w:pPr>
      <w:r w:rsidRPr="0047151B">
        <w:rPr>
          <w:rFonts w:ascii="Times New Roman" w:hAnsi="Times New Roman" w:cs="Times New Roman"/>
          <w:b/>
          <w:i w:val="0"/>
          <w:color w:val="auto"/>
          <w:sz w:val="24"/>
          <w:lang w:val="en-US"/>
        </w:rPr>
        <w:t>Results</w:t>
      </w:r>
      <w:r w:rsidR="00D004DC" w:rsidRPr="0047151B">
        <w:rPr>
          <w:rFonts w:ascii="Times New Roman" w:hAnsi="Times New Roman" w:cs="Times New Roman"/>
          <w:b/>
          <w:i w:val="0"/>
          <w:color w:val="auto"/>
          <w:sz w:val="24"/>
          <w:lang w:val="en-US"/>
        </w:rPr>
        <w:t xml:space="preserve"> (λ-cyhalothrin)</w:t>
      </w:r>
    </w:p>
    <w:p w:rsidR="00D004DC" w:rsidRPr="00D004DC" w:rsidRDefault="00D004DC" w:rsidP="00AA4EF8">
      <w:pPr>
        <w:jc w:val="both"/>
        <w:rPr>
          <w:rFonts w:ascii="Times New Roman" w:hAnsi="Times New Roman" w:cs="Times New Roman"/>
          <w:b/>
          <w:highlight w:val="yellow"/>
          <w:lang w:val="en-US"/>
        </w:rPr>
      </w:pPr>
      <w:r>
        <w:rPr>
          <w:noProof/>
          <w:lang w:val="en-US"/>
        </w:rPr>
        <w:drawing>
          <wp:inline distT="0" distB="0" distL="0" distR="0" wp14:anchorId="11D32104" wp14:editId="17ABEFDE">
            <wp:extent cx="6120130" cy="3032760"/>
            <wp:effectExtent l="0" t="0" r="139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04DC" w:rsidRPr="00584EA1" w:rsidRDefault="00584EA1" w:rsidP="00584EA1">
      <w:pPr>
        <w:jc w:val="both"/>
        <w:rPr>
          <w:rFonts w:ascii="Times New Roman" w:hAnsi="Times New Roman" w:cs="Times New Roman"/>
          <w:lang w:val="en-US"/>
        </w:rPr>
      </w:pPr>
      <w:r w:rsidRPr="00584EA1">
        <w:rPr>
          <w:rFonts w:ascii="Times New Roman" w:hAnsi="Times New Roman" w:cs="Times New Roman"/>
          <w:lang w:val="en-US"/>
        </w:rPr>
        <w:t xml:space="preserve">Of the 57 population samples tested in 2017 in the Nordics and Baltics, a single population proved highly susceptible to λ-cyhalothrin. Most of the pollen beetle population samples were resistant to λ-cyhalothrin, indicating a possible issue with controlling pollen beetles in the field. This was further shown by the relative large proportion of highly resistant pollen beetles. </w:t>
      </w:r>
    </w:p>
    <w:p w:rsidR="00584EA1" w:rsidRDefault="00584EA1" w:rsidP="00D004DC">
      <w:pPr>
        <w:jc w:val="both"/>
        <w:rPr>
          <w:rFonts w:ascii="Times New Roman" w:hAnsi="Times New Roman" w:cs="Times New Roman"/>
          <w:b/>
          <w:highlight w:val="yellow"/>
          <w:lang w:val="en-US"/>
        </w:rPr>
      </w:pPr>
    </w:p>
    <w:p w:rsidR="0047151B" w:rsidRPr="0047151B" w:rsidRDefault="0047151B" w:rsidP="0047151B">
      <w:pPr>
        <w:pStyle w:val="Heading4"/>
        <w:rPr>
          <w:rFonts w:ascii="Times New Roman" w:hAnsi="Times New Roman" w:cs="Times New Roman"/>
          <w:b/>
          <w:i w:val="0"/>
          <w:color w:val="auto"/>
          <w:lang w:val="en-US"/>
        </w:rPr>
      </w:pPr>
      <w:r w:rsidRPr="0047151B">
        <w:rPr>
          <w:rFonts w:ascii="Times New Roman" w:hAnsi="Times New Roman" w:cs="Times New Roman"/>
          <w:b/>
          <w:i w:val="0"/>
          <w:color w:val="auto"/>
          <w:sz w:val="24"/>
          <w:lang w:val="en-US"/>
        </w:rPr>
        <w:lastRenderedPageBreak/>
        <w:t>Results (τ-</w:t>
      </w:r>
      <w:proofErr w:type="spellStart"/>
      <w:r w:rsidRPr="0047151B">
        <w:rPr>
          <w:rFonts w:ascii="Times New Roman" w:hAnsi="Times New Roman" w:cs="Times New Roman"/>
          <w:b/>
          <w:i w:val="0"/>
          <w:color w:val="auto"/>
          <w:sz w:val="24"/>
          <w:lang w:val="en-US"/>
        </w:rPr>
        <w:t>fluvalinate</w:t>
      </w:r>
      <w:proofErr w:type="spellEnd"/>
      <w:r w:rsidRPr="0047151B">
        <w:rPr>
          <w:rFonts w:ascii="Times New Roman" w:hAnsi="Times New Roman" w:cs="Times New Roman"/>
          <w:b/>
          <w:i w:val="0"/>
          <w:color w:val="auto"/>
          <w:sz w:val="24"/>
          <w:lang w:val="en-US"/>
        </w:rPr>
        <w:t>)</w:t>
      </w:r>
    </w:p>
    <w:p w:rsidR="00D004DC" w:rsidRDefault="00D32B85" w:rsidP="00D004DC">
      <w:pPr>
        <w:jc w:val="both"/>
        <w:rPr>
          <w:rFonts w:ascii="Times New Roman" w:hAnsi="Times New Roman" w:cs="Times New Roman"/>
          <w:highlight w:val="yellow"/>
          <w:lang w:val="en-US"/>
        </w:rPr>
      </w:pPr>
      <w:r>
        <w:rPr>
          <w:noProof/>
          <w:lang w:val="en-US"/>
        </w:rPr>
        <w:drawing>
          <wp:inline distT="0" distB="0" distL="0" distR="0" wp14:anchorId="544A6A1A" wp14:editId="245B0AE5">
            <wp:extent cx="5861714" cy="3009331"/>
            <wp:effectExtent l="0" t="0" r="5715" b="6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32B85" w:rsidRPr="00D32B85" w:rsidRDefault="00D32B85" w:rsidP="00D004DC">
      <w:pPr>
        <w:jc w:val="both"/>
        <w:rPr>
          <w:rFonts w:ascii="Times New Roman" w:hAnsi="Times New Roman" w:cs="Times New Roman"/>
          <w:lang w:val="en-US"/>
        </w:rPr>
      </w:pPr>
      <w:r w:rsidRPr="00D32B85">
        <w:rPr>
          <w:rFonts w:ascii="Times New Roman" w:hAnsi="Times New Roman" w:cs="Times New Roman"/>
          <w:lang w:val="en-US"/>
        </w:rPr>
        <w:t>None of the 30 population samples proved highly susceptible nor highly resistant to τ-</w:t>
      </w:r>
      <w:proofErr w:type="spellStart"/>
      <w:r w:rsidRPr="00D32B85">
        <w:rPr>
          <w:rFonts w:ascii="Times New Roman" w:hAnsi="Times New Roman" w:cs="Times New Roman"/>
          <w:lang w:val="en-US"/>
        </w:rPr>
        <w:t>fluvalinate</w:t>
      </w:r>
      <w:proofErr w:type="spellEnd"/>
      <w:r w:rsidRPr="00D32B85">
        <w:rPr>
          <w:rFonts w:ascii="Times New Roman" w:hAnsi="Times New Roman" w:cs="Times New Roman"/>
          <w:lang w:val="en-US"/>
        </w:rPr>
        <w:t>. Susceptible samples were present in the Nordics and Baltics, with more than 80% of the Lithuanian samples proving susceptible to τ-</w:t>
      </w:r>
      <w:proofErr w:type="spellStart"/>
      <w:r w:rsidRPr="00D32B85">
        <w:rPr>
          <w:rFonts w:ascii="Times New Roman" w:hAnsi="Times New Roman" w:cs="Times New Roman"/>
          <w:lang w:val="en-US"/>
        </w:rPr>
        <w:t>fluvalinate</w:t>
      </w:r>
      <w:proofErr w:type="spellEnd"/>
      <w:r w:rsidRPr="00D32B85">
        <w:rPr>
          <w:rFonts w:ascii="Times New Roman" w:hAnsi="Times New Roman" w:cs="Times New Roman"/>
          <w:lang w:val="en-US"/>
        </w:rPr>
        <w:t xml:space="preserve">. However, the biggest proportion of population samples were considered moderately resistant and a few populations were resistant. </w:t>
      </w:r>
    </w:p>
    <w:p w:rsidR="00D32B85" w:rsidRPr="00D32B85" w:rsidRDefault="00D32B85" w:rsidP="00D004DC">
      <w:pPr>
        <w:jc w:val="both"/>
        <w:rPr>
          <w:rFonts w:ascii="Times New Roman" w:hAnsi="Times New Roman" w:cs="Times New Roman"/>
          <w:lang w:val="en-US"/>
        </w:rPr>
      </w:pPr>
    </w:p>
    <w:p w:rsidR="00D004DC" w:rsidRPr="00D32B85" w:rsidRDefault="00D004DC" w:rsidP="0047151B">
      <w:pPr>
        <w:pStyle w:val="Heading4"/>
        <w:rPr>
          <w:lang w:val="en-US"/>
        </w:rPr>
      </w:pPr>
      <w:r w:rsidRPr="00D32B85">
        <w:rPr>
          <w:rFonts w:ascii="Times New Roman" w:hAnsi="Times New Roman" w:cs="Times New Roman"/>
          <w:b/>
          <w:i w:val="0"/>
          <w:color w:val="auto"/>
          <w:sz w:val="24"/>
          <w:lang w:val="en-US"/>
        </w:rPr>
        <w:t>Conclusion</w:t>
      </w:r>
      <w:r w:rsidRPr="00D32B85">
        <w:rPr>
          <w:lang w:val="en-US"/>
        </w:rPr>
        <w:t xml:space="preserve"> </w:t>
      </w:r>
    </w:p>
    <w:p w:rsidR="00F35242" w:rsidRPr="001C6161" w:rsidRDefault="00D32B85" w:rsidP="00647E51">
      <w:pPr>
        <w:jc w:val="both"/>
        <w:rPr>
          <w:rFonts w:ascii="Times New Roman" w:hAnsi="Times New Roman" w:cs="Times New Roman"/>
          <w:lang w:val="en-US"/>
        </w:rPr>
      </w:pPr>
      <w:r>
        <w:rPr>
          <w:rFonts w:ascii="Times New Roman" w:hAnsi="Times New Roman" w:cs="Times New Roman"/>
          <w:lang w:val="en-US"/>
        </w:rPr>
        <w:t xml:space="preserve">Both </w:t>
      </w:r>
      <w:r w:rsidRPr="001C6161">
        <w:rPr>
          <w:rFonts w:ascii="Times New Roman" w:hAnsi="Times New Roman" w:cs="Times New Roman"/>
          <w:lang w:val="en-US"/>
        </w:rPr>
        <w:t>λ-cyhalothrin</w:t>
      </w:r>
      <w:r>
        <w:rPr>
          <w:rFonts w:ascii="Times New Roman" w:hAnsi="Times New Roman" w:cs="Times New Roman"/>
          <w:lang w:val="en-US"/>
        </w:rPr>
        <w:t xml:space="preserve"> and </w:t>
      </w:r>
      <w:r w:rsidRPr="00303A53">
        <w:rPr>
          <w:rFonts w:ascii="Times New Roman" w:hAnsi="Times New Roman" w:cs="Times New Roman"/>
          <w:lang w:val="en-US"/>
        </w:rPr>
        <w:t>τ-</w:t>
      </w:r>
      <w:proofErr w:type="spellStart"/>
      <w:r w:rsidRPr="00303A53">
        <w:rPr>
          <w:rFonts w:ascii="Times New Roman" w:hAnsi="Times New Roman" w:cs="Times New Roman"/>
          <w:lang w:val="en-US"/>
        </w:rPr>
        <w:t>fluvalinate</w:t>
      </w:r>
      <w:proofErr w:type="spellEnd"/>
      <w:r>
        <w:rPr>
          <w:rFonts w:ascii="Times New Roman" w:hAnsi="Times New Roman" w:cs="Times New Roman"/>
          <w:lang w:val="en-US"/>
        </w:rPr>
        <w:t xml:space="preserve"> function as s</w:t>
      </w:r>
      <w:r w:rsidRPr="00D32B85">
        <w:rPr>
          <w:rFonts w:ascii="Times New Roman" w:hAnsi="Times New Roman" w:cs="Times New Roman"/>
          <w:lang w:val="en-US"/>
        </w:rPr>
        <w:t>odium channel</w:t>
      </w:r>
      <w:r>
        <w:rPr>
          <w:rFonts w:ascii="Times New Roman" w:hAnsi="Times New Roman" w:cs="Times New Roman"/>
          <w:lang w:val="en-US"/>
        </w:rPr>
        <w:t xml:space="preserve"> modulators, </w:t>
      </w:r>
      <w:r w:rsidR="00647E51">
        <w:rPr>
          <w:rFonts w:ascii="Times New Roman" w:hAnsi="Times New Roman" w:cs="Times New Roman"/>
          <w:lang w:val="en-US"/>
        </w:rPr>
        <w:t xml:space="preserve">stimulating repetitive nerve discharges, leading to death through paralysis. </w:t>
      </w:r>
      <w:r w:rsidR="00584EA1">
        <w:rPr>
          <w:rFonts w:ascii="Times New Roman" w:hAnsi="Times New Roman" w:cs="Times New Roman"/>
          <w:lang w:val="en-US"/>
        </w:rPr>
        <w:t>Results obtained in the laboratory setting using the adult vial test is not directly referable to field performance of the product, but can give indications of possible control issues.</w:t>
      </w:r>
      <w:r w:rsidR="00647E51">
        <w:rPr>
          <w:rFonts w:ascii="Times New Roman" w:hAnsi="Times New Roman" w:cs="Times New Roman"/>
          <w:lang w:val="en-US"/>
        </w:rPr>
        <w:t xml:space="preserve"> Based on 2017 trials, control issues for </w:t>
      </w:r>
      <w:r w:rsidR="00647E51" w:rsidRPr="001C6161">
        <w:rPr>
          <w:rFonts w:ascii="Times New Roman" w:hAnsi="Times New Roman" w:cs="Times New Roman"/>
          <w:lang w:val="en-US"/>
        </w:rPr>
        <w:t>λ-cyhalothrin</w:t>
      </w:r>
      <w:r w:rsidR="00647E51">
        <w:rPr>
          <w:rFonts w:ascii="Times New Roman" w:hAnsi="Times New Roman" w:cs="Times New Roman"/>
          <w:lang w:val="en-US"/>
        </w:rPr>
        <w:t xml:space="preserve"> might already be present in the field as data show a large proportion of resistant or highly resistant populations. The proportion of resistant and highly resistant populations is less marked for </w:t>
      </w:r>
      <w:r w:rsidR="00647E51" w:rsidRPr="00303A53">
        <w:rPr>
          <w:rFonts w:ascii="Times New Roman" w:hAnsi="Times New Roman" w:cs="Times New Roman"/>
          <w:lang w:val="en-US"/>
        </w:rPr>
        <w:t>τ-</w:t>
      </w:r>
      <w:proofErr w:type="spellStart"/>
      <w:r w:rsidR="00647E51" w:rsidRPr="00303A53">
        <w:rPr>
          <w:rFonts w:ascii="Times New Roman" w:hAnsi="Times New Roman" w:cs="Times New Roman"/>
          <w:lang w:val="en-US"/>
        </w:rPr>
        <w:t>fluvalinate</w:t>
      </w:r>
      <w:proofErr w:type="spellEnd"/>
      <w:r w:rsidR="00647E51">
        <w:rPr>
          <w:rFonts w:ascii="Times New Roman" w:hAnsi="Times New Roman" w:cs="Times New Roman"/>
          <w:lang w:val="en-US"/>
        </w:rPr>
        <w:t xml:space="preserve">, but also here is resistance on the rise. </w:t>
      </w:r>
    </w:p>
    <w:p w:rsidR="00F35242" w:rsidRDefault="00F35242" w:rsidP="001F1F59">
      <w:pPr>
        <w:jc w:val="both"/>
        <w:rPr>
          <w:rFonts w:ascii="Times New Roman" w:hAnsi="Times New Roman" w:cs="Times New Roman"/>
          <w:lang w:val="en-US"/>
        </w:rPr>
      </w:pPr>
    </w:p>
    <w:p w:rsidR="007E3F80" w:rsidRPr="001C6161" w:rsidRDefault="00DC7477" w:rsidP="001F1F59">
      <w:pPr>
        <w:pStyle w:val="Heading3"/>
        <w:jc w:val="both"/>
        <w:rPr>
          <w:rFonts w:ascii="Times New Roman" w:hAnsi="Times New Roman" w:cs="Times New Roman"/>
          <w:b/>
          <w:color w:val="auto"/>
          <w:lang w:val="en-US"/>
        </w:rPr>
      </w:pPr>
      <w:r w:rsidRPr="001C6161">
        <w:rPr>
          <w:rFonts w:ascii="Times New Roman" w:hAnsi="Times New Roman" w:cs="Times New Roman"/>
          <w:b/>
          <w:color w:val="auto"/>
          <w:lang w:val="en-US"/>
        </w:rPr>
        <w:t>Method 021</w:t>
      </w:r>
      <w:r w:rsidR="00BD2C96" w:rsidRPr="001C6161">
        <w:rPr>
          <w:rFonts w:ascii="Times New Roman" w:hAnsi="Times New Roman" w:cs="Times New Roman"/>
          <w:b/>
          <w:color w:val="auto"/>
          <w:lang w:val="en-US"/>
        </w:rPr>
        <w:t xml:space="preserve"> (</w:t>
      </w:r>
      <w:r w:rsidR="00C828EB">
        <w:rPr>
          <w:rFonts w:ascii="Times New Roman" w:hAnsi="Times New Roman" w:cs="Times New Roman"/>
          <w:b/>
          <w:color w:val="auto"/>
          <w:lang w:val="en-US"/>
        </w:rPr>
        <w:t>Neonicotinoids</w:t>
      </w:r>
      <w:r w:rsidRPr="001C6161">
        <w:rPr>
          <w:rFonts w:ascii="Times New Roman" w:hAnsi="Times New Roman" w:cs="Times New Roman"/>
          <w:b/>
          <w:color w:val="auto"/>
          <w:lang w:val="en-US"/>
        </w:rPr>
        <w:t>)</w:t>
      </w:r>
      <w:r w:rsidR="007E3F80" w:rsidRPr="001C6161">
        <w:rPr>
          <w:rFonts w:ascii="Times New Roman" w:hAnsi="Times New Roman" w:cs="Times New Roman"/>
          <w:b/>
          <w:color w:val="auto"/>
          <w:lang w:val="en-US"/>
        </w:rPr>
        <w:t xml:space="preserve"> </w:t>
      </w:r>
    </w:p>
    <w:p w:rsidR="00BD2C96" w:rsidRDefault="00BD2C96" w:rsidP="001F1F59">
      <w:pPr>
        <w:jc w:val="both"/>
        <w:rPr>
          <w:rFonts w:ascii="Times New Roman" w:hAnsi="Times New Roman" w:cs="Times New Roman"/>
          <w:lang w:val="en-US"/>
        </w:rPr>
      </w:pPr>
      <w:r w:rsidRPr="001C6161">
        <w:rPr>
          <w:rFonts w:ascii="Times New Roman" w:hAnsi="Times New Roman" w:cs="Times New Roman"/>
          <w:lang w:val="en-US"/>
        </w:rPr>
        <w:t>Method 021 tests the effect of neonicotinoid</w:t>
      </w:r>
      <w:r w:rsidR="00C828EB">
        <w:rPr>
          <w:rFonts w:ascii="Times New Roman" w:hAnsi="Times New Roman" w:cs="Times New Roman"/>
          <w:lang w:val="en-US"/>
        </w:rPr>
        <w:t>s</w:t>
      </w:r>
      <w:r w:rsidRPr="001C6161">
        <w:rPr>
          <w:rFonts w:ascii="Times New Roman" w:hAnsi="Times New Roman" w:cs="Times New Roman"/>
          <w:lang w:val="en-US"/>
        </w:rPr>
        <w:t xml:space="preserve"> on pollen beetles in a laboratory setting. </w:t>
      </w:r>
      <w:r w:rsidR="00C828EB">
        <w:rPr>
          <w:rFonts w:ascii="Times New Roman" w:hAnsi="Times New Roman" w:cs="Times New Roman"/>
          <w:lang w:val="en-US"/>
        </w:rPr>
        <w:t xml:space="preserve">The standard neonicotinoid used is </w:t>
      </w:r>
      <w:proofErr w:type="spellStart"/>
      <w:r w:rsidR="00C828EB" w:rsidRPr="001C6161">
        <w:rPr>
          <w:rFonts w:ascii="Times New Roman" w:hAnsi="Times New Roman" w:cs="Times New Roman"/>
          <w:lang w:val="en-US"/>
        </w:rPr>
        <w:t>thiacloprid</w:t>
      </w:r>
      <w:proofErr w:type="spellEnd"/>
      <w:r w:rsidR="00C828EB" w:rsidRPr="001C6161">
        <w:rPr>
          <w:rFonts w:ascii="Times New Roman" w:hAnsi="Times New Roman" w:cs="Times New Roman"/>
          <w:lang w:val="en-US"/>
        </w:rPr>
        <w:t xml:space="preserve"> (</w:t>
      </w:r>
      <w:proofErr w:type="spellStart"/>
      <w:r w:rsidR="00C828EB" w:rsidRPr="001C6161">
        <w:rPr>
          <w:rFonts w:ascii="Times New Roman" w:hAnsi="Times New Roman" w:cs="Times New Roman"/>
          <w:lang w:val="en-US"/>
        </w:rPr>
        <w:t>Biscaya</w:t>
      </w:r>
      <w:proofErr w:type="spellEnd"/>
      <w:r w:rsidR="00C828EB" w:rsidRPr="001C6161">
        <w:rPr>
          <w:rFonts w:ascii="Times New Roman" w:hAnsi="Times New Roman" w:cs="Times New Roman"/>
          <w:lang w:val="en-US"/>
        </w:rPr>
        <w:t>®)</w:t>
      </w:r>
      <w:r w:rsidR="00C828EB">
        <w:rPr>
          <w:rFonts w:ascii="Times New Roman" w:hAnsi="Times New Roman" w:cs="Times New Roman"/>
          <w:lang w:val="en-US"/>
        </w:rPr>
        <w:t>.</w:t>
      </w:r>
      <w:r w:rsidR="00C828EB" w:rsidRPr="001C6161">
        <w:rPr>
          <w:rFonts w:ascii="Times New Roman" w:hAnsi="Times New Roman" w:cs="Times New Roman"/>
          <w:lang w:val="en-US"/>
        </w:rPr>
        <w:t xml:space="preserve"> </w:t>
      </w:r>
      <w:r w:rsidRPr="001C6161">
        <w:rPr>
          <w:rFonts w:ascii="Times New Roman" w:hAnsi="Times New Roman" w:cs="Times New Roman"/>
          <w:lang w:val="en-US"/>
        </w:rPr>
        <w:t xml:space="preserve">This method is widely used for </w:t>
      </w:r>
      <w:proofErr w:type="spellStart"/>
      <w:r w:rsidRPr="001C6161">
        <w:rPr>
          <w:rFonts w:ascii="Times New Roman" w:hAnsi="Times New Roman" w:cs="Times New Roman"/>
          <w:lang w:val="en-US"/>
        </w:rPr>
        <w:t>thiacloprid</w:t>
      </w:r>
      <w:proofErr w:type="spellEnd"/>
      <w:r w:rsidRPr="001C6161">
        <w:rPr>
          <w:rFonts w:ascii="Times New Roman" w:hAnsi="Times New Roman" w:cs="Times New Roman"/>
          <w:lang w:val="en-US"/>
        </w:rPr>
        <w:t xml:space="preserve"> monitoring purposes for </w:t>
      </w:r>
      <w:r w:rsidRPr="001C6161">
        <w:rPr>
          <w:rFonts w:ascii="Times New Roman" w:hAnsi="Times New Roman" w:cs="Times New Roman"/>
          <w:i/>
          <w:lang w:val="en-US"/>
        </w:rPr>
        <w:t>M. aeneus</w:t>
      </w:r>
      <w:r w:rsidRPr="001C6161">
        <w:rPr>
          <w:rFonts w:ascii="Times New Roman" w:hAnsi="Times New Roman" w:cs="Times New Roman"/>
          <w:lang w:val="en-US"/>
        </w:rPr>
        <w:t xml:space="preserve"> throughout Europe. Beetles are placed in glass vials coated with </w:t>
      </w:r>
      <w:proofErr w:type="spellStart"/>
      <w:r w:rsidRPr="001C6161">
        <w:rPr>
          <w:rFonts w:ascii="Times New Roman" w:hAnsi="Times New Roman" w:cs="Times New Roman"/>
          <w:lang w:val="en-US"/>
        </w:rPr>
        <w:t>Biscaya</w:t>
      </w:r>
      <w:proofErr w:type="spellEnd"/>
      <w:r w:rsidRPr="001C6161">
        <w:rPr>
          <w:rFonts w:ascii="Times New Roman" w:hAnsi="Times New Roman" w:cs="Times New Roman"/>
          <w:lang w:val="en-US"/>
        </w:rPr>
        <w:t xml:space="preserve">® for 24 hours, after which number of affected and alive beetles are noted and % of affected beetles is calculated. Based on </w:t>
      </w:r>
      <w:r w:rsidR="00A41429" w:rsidRPr="001C6161">
        <w:rPr>
          <w:rFonts w:ascii="Times New Roman" w:hAnsi="Times New Roman" w:cs="Times New Roman"/>
          <w:lang w:val="en-US"/>
        </w:rPr>
        <w:t>a baseline study</w:t>
      </w:r>
      <w:r w:rsidR="002A1FEE" w:rsidRPr="001C6161">
        <w:rPr>
          <w:rStyle w:val="FootnoteReference"/>
          <w:rFonts w:ascii="Times New Roman" w:hAnsi="Times New Roman" w:cs="Times New Roman"/>
          <w:lang w:val="en-US"/>
        </w:rPr>
        <w:footnoteReference w:id="2"/>
      </w:r>
      <w:r w:rsidR="00A41429" w:rsidRPr="001C6161">
        <w:rPr>
          <w:rFonts w:ascii="Times New Roman" w:hAnsi="Times New Roman" w:cs="Times New Roman"/>
          <w:lang w:val="en-US"/>
        </w:rPr>
        <w:t xml:space="preserve"> of the sensitivity of pollen beetles against </w:t>
      </w:r>
      <w:proofErr w:type="spellStart"/>
      <w:r w:rsidR="00A41429" w:rsidRPr="001C6161">
        <w:rPr>
          <w:rFonts w:ascii="Times New Roman" w:hAnsi="Times New Roman" w:cs="Times New Roman"/>
          <w:lang w:val="en-US"/>
        </w:rPr>
        <w:t>thiachloprid</w:t>
      </w:r>
      <w:proofErr w:type="spellEnd"/>
      <w:r w:rsidR="00A41429" w:rsidRPr="001C6161">
        <w:rPr>
          <w:rFonts w:ascii="Times New Roman" w:hAnsi="Times New Roman" w:cs="Times New Roman"/>
          <w:lang w:val="en-US"/>
        </w:rPr>
        <w:t xml:space="preserve">, expected mortality values when applying </w:t>
      </w:r>
      <w:r w:rsidR="00911896" w:rsidRPr="001C6161">
        <w:rPr>
          <w:rFonts w:ascii="Times New Roman" w:hAnsi="Times New Roman" w:cs="Times New Roman"/>
          <w:lang w:val="en-US"/>
        </w:rPr>
        <w:t>1</w:t>
      </w:r>
      <w:r w:rsidR="002A1FEE" w:rsidRPr="001C6161">
        <w:rPr>
          <w:rFonts w:ascii="Times New Roman" w:hAnsi="Times New Roman" w:cs="Times New Roman"/>
          <w:lang w:val="en-US"/>
        </w:rPr>
        <w:t>44 ng/cm</w:t>
      </w:r>
      <w:r w:rsidR="00C828EB">
        <w:rPr>
          <w:rFonts w:ascii="Times New Roman" w:hAnsi="Times New Roman" w:cs="Times New Roman"/>
          <w:vertAlign w:val="superscript"/>
          <w:lang w:val="en-US"/>
        </w:rPr>
        <w:t>2</w:t>
      </w:r>
      <w:r w:rsidR="002A1FEE" w:rsidRPr="001C6161">
        <w:rPr>
          <w:rFonts w:ascii="Times New Roman" w:hAnsi="Times New Roman" w:cs="Times New Roman"/>
          <w:lang w:val="en-US"/>
        </w:rPr>
        <w:t>, 720 ng/cm</w:t>
      </w:r>
      <w:r w:rsidR="00C828EB">
        <w:rPr>
          <w:rFonts w:ascii="Times New Roman" w:hAnsi="Times New Roman" w:cs="Times New Roman"/>
          <w:vertAlign w:val="superscript"/>
          <w:lang w:val="en-US"/>
        </w:rPr>
        <w:t>2</w:t>
      </w:r>
      <w:r w:rsidR="00C828EB">
        <w:rPr>
          <w:rFonts w:ascii="Times New Roman" w:hAnsi="Times New Roman" w:cs="Times New Roman"/>
          <w:lang w:val="en-US"/>
        </w:rPr>
        <w:t xml:space="preserve"> </w:t>
      </w:r>
      <w:r w:rsidR="002A1FEE" w:rsidRPr="001C6161">
        <w:rPr>
          <w:rFonts w:ascii="Times New Roman" w:hAnsi="Times New Roman" w:cs="Times New Roman"/>
          <w:lang w:val="en-US"/>
        </w:rPr>
        <w:t>and 1440 ng/cm</w:t>
      </w:r>
      <w:r w:rsidR="00C828EB">
        <w:rPr>
          <w:rFonts w:ascii="Times New Roman" w:hAnsi="Times New Roman" w:cs="Times New Roman"/>
          <w:vertAlign w:val="superscript"/>
          <w:lang w:val="en-US"/>
        </w:rPr>
        <w:t>2</w:t>
      </w:r>
      <w:r w:rsidR="002A1FEE" w:rsidRPr="001C6161">
        <w:rPr>
          <w:rFonts w:ascii="Times New Roman" w:hAnsi="Times New Roman" w:cs="Times New Roman"/>
          <w:vertAlign w:val="superscript"/>
          <w:lang w:val="en-US"/>
        </w:rPr>
        <w:t xml:space="preserve"> </w:t>
      </w:r>
      <w:r w:rsidR="00A41429" w:rsidRPr="001C6161">
        <w:rPr>
          <w:rFonts w:ascii="Times New Roman" w:hAnsi="Times New Roman" w:cs="Times New Roman"/>
          <w:lang w:val="en-US"/>
        </w:rPr>
        <w:t>were obtained.</w:t>
      </w:r>
      <w:r w:rsidRPr="001C6161">
        <w:rPr>
          <w:rFonts w:ascii="Times New Roman" w:hAnsi="Times New Roman" w:cs="Times New Roman"/>
          <w:lang w:val="en-US"/>
        </w:rPr>
        <w:t xml:space="preserve"> </w:t>
      </w:r>
      <w:r w:rsidR="00EB71EC" w:rsidRPr="001C6161">
        <w:rPr>
          <w:rFonts w:ascii="Times New Roman" w:hAnsi="Times New Roman" w:cs="Times New Roman"/>
          <w:lang w:val="en-US"/>
        </w:rPr>
        <w:t>These doses correspond to 20%, 100% and 200% of the field rate, respectively.</w:t>
      </w:r>
    </w:p>
    <w:p w:rsidR="00E57E2C" w:rsidRPr="001C6161" w:rsidRDefault="00E57E2C" w:rsidP="001F1F59">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1435"/>
        <w:gridCol w:w="1890"/>
      </w:tblGrid>
      <w:tr w:rsidR="002A1FEE" w:rsidRPr="001C6161" w:rsidTr="00911896">
        <w:tc>
          <w:tcPr>
            <w:tcW w:w="1435"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b/>
                <w:lang w:val="en-US"/>
              </w:rPr>
              <w:lastRenderedPageBreak/>
              <w:t>Dose rate (ng/cm</w:t>
            </w:r>
            <w:r w:rsidRPr="001C6161">
              <w:rPr>
                <w:rFonts w:ascii="Times New Roman" w:hAnsi="Times New Roman" w:cs="Times New Roman"/>
                <w:b/>
                <w:vertAlign w:val="superscript"/>
                <w:lang w:val="en-US"/>
              </w:rPr>
              <w:t>3</w:t>
            </w:r>
            <w:r w:rsidRPr="001C6161">
              <w:rPr>
                <w:rFonts w:ascii="Times New Roman" w:hAnsi="Times New Roman" w:cs="Times New Roman"/>
                <w:b/>
                <w:lang w:val="en-US"/>
              </w:rPr>
              <w:t>)</w:t>
            </w:r>
          </w:p>
        </w:tc>
        <w:tc>
          <w:tcPr>
            <w:tcW w:w="1890" w:type="dxa"/>
          </w:tcPr>
          <w:p w:rsidR="002A1FEE" w:rsidRPr="001C6161" w:rsidRDefault="002A1FEE" w:rsidP="001F1F59">
            <w:pPr>
              <w:jc w:val="both"/>
              <w:rPr>
                <w:rFonts w:ascii="Times New Roman" w:hAnsi="Times New Roman" w:cs="Times New Roman"/>
                <w:b/>
                <w:lang w:val="en-US"/>
              </w:rPr>
            </w:pPr>
            <w:r w:rsidRPr="001C6161">
              <w:rPr>
                <w:rFonts w:ascii="Times New Roman" w:hAnsi="Times New Roman" w:cs="Times New Roman"/>
                <w:b/>
                <w:lang w:val="en-US"/>
              </w:rPr>
              <w:t>Expected mortality</w:t>
            </w:r>
            <w:r w:rsidR="00911896" w:rsidRPr="001C6161">
              <w:rPr>
                <w:rFonts w:ascii="Times New Roman" w:hAnsi="Times New Roman" w:cs="Times New Roman"/>
                <w:b/>
                <w:lang w:val="en-US"/>
              </w:rPr>
              <w:t xml:space="preserve"> (%)</w:t>
            </w:r>
          </w:p>
        </w:tc>
      </w:tr>
      <w:tr w:rsidR="002A1FEE" w:rsidRPr="001C6161" w:rsidTr="00911896">
        <w:tc>
          <w:tcPr>
            <w:tcW w:w="1435"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lang w:val="en-US"/>
              </w:rPr>
              <w:t>144</w:t>
            </w:r>
          </w:p>
        </w:tc>
        <w:tc>
          <w:tcPr>
            <w:tcW w:w="1890"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lang w:val="en-US"/>
              </w:rPr>
              <w:t>50 ± 10</w:t>
            </w:r>
          </w:p>
        </w:tc>
      </w:tr>
      <w:tr w:rsidR="002A1FEE" w:rsidRPr="001C6161" w:rsidTr="00911896">
        <w:tc>
          <w:tcPr>
            <w:tcW w:w="1435"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lang w:val="en-US"/>
              </w:rPr>
              <w:t>720</w:t>
            </w:r>
          </w:p>
        </w:tc>
        <w:tc>
          <w:tcPr>
            <w:tcW w:w="1890"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lang w:val="en-US"/>
              </w:rPr>
              <w:t>93 ± 6</w:t>
            </w:r>
          </w:p>
        </w:tc>
      </w:tr>
      <w:tr w:rsidR="002A1FEE" w:rsidRPr="001C6161" w:rsidTr="00911896">
        <w:tc>
          <w:tcPr>
            <w:tcW w:w="1435"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lang w:val="en-US"/>
              </w:rPr>
              <w:t>1440</w:t>
            </w:r>
          </w:p>
        </w:tc>
        <w:tc>
          <w:tcPr>
            <w:tcW w:w="1890" w:type="dxa"/>
          </w:tcPr>
          <w:p w:rsidR="002A1FEE" w:rsidRPr="001C6161" w:rsidRDefault="00911896" w:rsidP="001F1F59">
            <w:pPr>
              <w:jc w:val="both"/>
              <w:rPr>
                <w:rFonts w:ascii="Times New Roman" w:hAnsi="Times New Roman" w:cs="Times New Roman"/>
                <w:lang w:val="en-US"/>
              </w:rPr>
            </w:pPr>
            <w:r w:rsidRPr="001C6161">
              <w:rPr>
                <w:rFonts w:ascii="Times New Roman" w:hAnsi="Times New Roman" w:cs="Times New Roman"/>
                <w:lang w:val="en-US"/>
              </w:rPr>
              <w:t>98 ± 3</w:t>
            </w:r>
          </w:p>
        </w:tc>
      </w:tr>
    </w:tbl>
    <w:p w:rsidR="002A1FEE" w:rsidRPr="001C6161" w:rsidRDefault="002A1FEE" w:rsidP="001F1F59">
      <w:pPr>
        <w:jc w:val="both"/>
        <w:rPr>
          <w:rFonts w:ascii="Times New Roman" w:hAnsi="Times New Roman" w:cs="Times New Roman"/>
          <w:lang w:val="en-US"/>
        </w:rPr>
      </w:pPr>
    </w:p>
    <w:p w:rsidR="00EB71EC" w:rsidRDefault="002B1680" w:rsidP="001F1F59">
      <w:pPr>
        <w:jc w:val="both"/>
        <w:rPr>
          <w:rFonts w:ascii="Times New Roman" w:hAnsi="Times New Roman" w:cs="Times New Roman"/>
          <w:lang w:val="en-US"/>
        </w:rPr>
      </w:pPr>
      <w:r w:rsidRPr="001C6161">
        <w:rPr>
          <w:rFonts w:ascii="Times New Roman" w:hAnsi="Times New Roman" w:cs="Times New Roman"/>
          <w:lang w:val="en-US"/>
        </w:rPr>
        <w:t>Data was obtained from Norway</w:t>
      </w:r>
      <w:r w:rsidR="009932AF">
        <w:rPr>
          <w:rFonts w:ascii="Times New Roman" w:hAnsi="Times New Roman" w:cs="Times New Roman"/>
          <w:lang w:val="en-US"/>
        </w:rPr>
        <w:t xml:space="preserve">, </w:t>
      </w:r>
      <w:r w:rsidRPr="001C6161">
        <w:rPr>
          <w:rFonts w:ascii="Times New Roman" w:hAnsi="Times New Roman" w:cs="Times New Roman"/>
          <w:lang w:val="en-US"/>
        </w:rPr>
        <w:t>Sweden</w:t>
      </w:r>
      <w:r w:rsidR="009932AF">
        <w:rPr>
          <w:rFonts w:ascii="Times New Roman" w:hAnsi="Times New Roman" w:cs="Times New Roman"/>
          <w:lang w:val="en-US"/>
        </w:rPr>
        <w:t>, Denmark, Latvia, Estonia and Lithuania</w:t>
      </w:r>
      <w:r w:rsidRPr="001C6161">
        <w:rPr>
          <w:rFonts w:ascii="Times New Roman" w:hAnsi="Times New Roman" w:cs="Times New Roman"/>
          <w:lang w:val="en-US"/>
        </w:rPr>
        <w:t xml:space="preserve">. A total of </w:t>
      </w:r>
      <w:r w:rsidR="006009AE">
        <w:rPr>
          <w:rFonts w:ascii="Times New Roman" w:hAnsi="Times New Roman" w:cs="Times New Roman"/>
          <w:lang w:val="en-US"/>
        </w:rPr>
        <w:t>54</w:t>
      </w:r>
      <w:r w:rsidRPr="001C6161">
        <w:rPr>
          <w:rFonts w:ascii="Times New Roman" w:hAnsi="Times New Roman" w:cs="Times New Roman"/>
          <w:lang w:val="en-US"/>
        </w:rPr>
        <w:t xml:space="preserve"> population samples were collected and tested in the lab.</w:t>
      </w:r>
      <w:r w:rsidR="00CF7742">
        <w:rPr>
          <w:rFonts w:ascii="Times New Roman" w:hAnsi="Times New Roman" w:cs="Times New Roman"/>
          <w:lang w:val="en-US"/>
        </w:rPr>
        <w:t xml:space="preserve"> </w:t>
      </w:r>
      <w:r w:rsidR="00EB71EC" w:rsidRPr="001C6161">
        <w:rPr>
          <w:rFonts w:ascii="Times New Roman" w:hAnsi="Times New Roman" w:cs="Times New Roman"/>
          <w:lang w:val="en-US"/>
        </w:rPr>
        <w:t>The data presented here, is categorized according the observed mortality at 1440 ng/cm</w:t>
      </w:r>
      <w:r w:rsidR="00EB71EC" w:rsidRPr="001C6161">
        <w:rPr>
          <w:rFonts w:ascii="Times New Roman" w:hAnsi="Times New Roman" w:cs="Times New Roman"/>
          <w:vertAlign w:val="superscript"/>
          <w:lang w:val="en-US"/>
        </w:rPr>
        <w:t>3</w:t>
      </w:r>
      <w:r w:rsidR="00CF7742">
        <w:rPr>
          <w:rFonts w:ascii="Times New Roman" w:hAnsi="Times New Roman" w:cs="Times New Roman"/>
          <w:lang w:val="en-US"/>
        </w:rPr>
        <w:t>, corresponding to 200% field rate as described in the IRAC method.</w:t>
      </w:r>
    </w:p>
    <w:p w:rsidR="00784261" w:rsidRPr="001C6161" w:rsidRDefault="00784261" w:rsidP="001F1F59">
      <w:pPr>
        <w:jc w:val="both"/>
        <w:rPr>
          <w:rFonts w:ascii="Times New Roman" w:hAnsi="Times New Roman" w:cs="Times New Roman"/>
          <w:lang w:val="en-US"/>
        </w:rPr>
      </w:pPr>
    </w:p>
    <w:p w:rsidR="004A1CA8" w:rsidRDefault="004A1CA8" w:rsidP="004A1CA8">
      <w:pPr>
        <w:pStyle w:val="Heading4"/>
        <w:rPr>
          <w:rFonts w:ascii="Times New Roman" w:hAnsi="Times New Roman" w:cs="Times New Roman"/>
          <w:b/>
          <w:i w:val="0"/>
          <w:color w:val="auto"/>
          <w:sz w:val="24"/>
          <w:lang w:val="en-US"/>
        </w:rPr>
      </w:pPr>
      <w:r w:rsidRPr="0047151B">
        <w:rPr>
          <w:rFonts w:ascii="Times New Roman" w:hAnsi="Times New Roman" w:cs="Times New Roman"/>
          <w:b/>
          <w:i w:val="0"/>
          <w:color w:val="auto"/>
          <w:sz w:val="24"/>
          <w:lang w:val="en-US"/>
        </w:rPr>
        <w:t>Results (</w:t>
      </w:r>
      <w:proofErr w:type="spellStart"/>
      <w:r w:rsidR="00336FE5" w:rsidRPr="00336FE5">
        <w:rPr>
          <w:rFonts w:ascii="Times New Roman" w:hAnsi="Times New Roman" w:cs="Times New Roman"/>
          <w:b/>
          <w:i w:val="0"/>
          <w:color w:val="auto"/>
          <w:sz w:val="24"/>
          <w:lang w:val="en-US"/>
        </w:rPr>
        <w:t>thiacloprid</w:t>
      </w:r>
      <w:proofErr w:type="spellEnd"/>
      <w:r w:rsidRPr="0047151B">
        <w:rPr>
          <w:rFonts w:ascii="Times New Roman" w:hAnsi="Times New Roman" w:cs="Times New Roman"/>
          <w:b/>
          <w:i w:val="0"/>
          <w:color w:val="auto"/>
          <w:sz w:val="24"/>
          <w:lang w:val="en-US"/>
        </w:rPr>
        <w:t>)</w:t>
      </w:r>
    </w:p>
    <w:p w:rsidR="00D32D5D" w:rsidRPr="00D32D5D" w:rsidRDefault="00D32D5D" w:rsidP="00D32D5D">
      <w:pPr>
        <w:rPr>
          <w:lang w:val="en-US"/>
        </w:rPr>
      </w:pPr>
      <w:r>
        <w:rPr>
          <w:noProof/>
          <w:lang w:val="en-US"/>
        </w:rPr>
        <w:drawing>
          <wp:inline distT="0" distB="0" distL="0" distR="0" wp14:anchorId="708D4D52" wp14:editId="1D2BB5FE">
            <wp:extent cx="6120130" cy="3139440"/>
            <wp:effectExtent l="0" t="0" r="13970" b="38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32AF" w:rsidRDefault="00250C31" w:rsidP="00C828EB">
      <w:pPr>
        <w:jc w:val="both"/>
        <w:rPr>
          <w:rFonts w:ascii="Times New Roman" w:hAnsi="Times New Roman" w:cs="Times New Roman"/>
          <w:lang w:val="en-US"/>
        </w:rPr>
      </w:pPr>
      <w:r>
        <w:rPr>
          <w:rFonts w:ascii="Times New Roman" w:hAnsi="Times New Roman" w:cs="Times New Roman"/>
          <w:lang w:val="en-US"/>
        </w:rPr>
        <w:t xml:space="preserve">There was great country-wise differences in </w:t>
      </w:r>
      <w:proofErr w:type="spellStart"/>
      <w:r>
        <w:rPr>
          <w:rFonts w:ascii="Times New Roman" w:hAnsi="Times New Roman" w:cs="Times New Roman"/>
          <w:lang w:val="en-US"/>
        </w:rPr>
        <w:t>thiacloprid</w:t>
      </w:r>
      <w:proofErr w:type="spellEnd"/>
      <w:r>
        <w:rPr>
          <w:rFonts w:ascii="Times New Roman" w:hAnsi="Times New Roman" w:cs="Times New Roman"/>
          <w:lang w:val="en-US"/>
        </w:rPr>
        <w:t xml:space="preserve"> efficacy in the tested population samples. </w:t>
      </w:r>
      <w:r w:rsidR="006009AE">
        <w:rPr>
          <w:rFonts w:ascii="Times New Roman" w:hAnsi="Times New Roman" w:cs="Times New Roman"/>
          <w:lang w:val="en-US"/>
        </w:rPr>
        <w:t xml:space="preserve">In Denmark and Sweden, the majority of population samples proved </w:t>
      </w:r>
      <w:r w:rsidR="00D32D5D">
        <w:rPr>
          <w:rFonts w:ascii="Times New Roman" w:hAnsi="Times New Roman" w:cs="Times New Roman"/>
          <w:lang w:val="en-US"/>
        </w:rPr>
        <w:t>sensitive</w:t>
      </w:r>
      <w:r w:rsidR="006009AE">
        <w:rPr>
          <w:rFonts w:ascii="Times New Roman" w:hAnsi="Times New Roman" w:cs="Times New Roman"/>
          <w:lang w:val="en-US"/>
        </w:rPr>
        <w:t xml:space="preserve"> to </w:t>
      </w:r>
      <w:proofErr w:type="spellStart"/>
      <w:r w:rsidR="006009AE">
        <w:rPr>
          <w:rFonts w:ascii="Times New Roman" w:hAnsi="Times New Roman" w:cs="Times New Roman"/>
          <w:lang w:val="en-US"/>
        </w:rPr>
        <w:t>thiacloprid</w:t>
      </w:r>
      <w:proofErr w:type="spellEnd"/>
      <w:r w:rsidR="00D32D5D">
        <w:rPr>
          <w:rFonts w:ascii="Times New Roman" w:hAnsi="Times New Roman" w:cs="Times New Roman"/>
          <w:lang w:val="en-US"/>
        </w:rPr>
        <w:t>, with efficacies above 75% for 200% field rate</w:t>
      </w:r>
      <w:r>
        <w:rPr>
          <w:rFonts w:ascii="Times New Roman" w:hAnsi="Times New Roman" w:cs="Times New Roman"/>
          <w:lang w:val="en-US"/>
        </w:rPr>
        <w:t xml:space="preserve"> of </w:t>
      </w:r>
      <w:proofErr w:type="spellStart"/>
      <w:r>
        <w:rPr>
          <w:rFonts w:ascii="Times New Roman" w:hAnsi="Times New Roman" w:cs="Times New Roman"/>
          <w:lang w:val="en-US"/>
        </w:rPr>
        <w:t>thiacloprid</w:t>
      </w:r>
      <w:proofErr w:type="spellEnd"/>
      <w:r w:rsidR="00D32D5D">
        <w:rPr>
          <w:rFonts w:ascii="Times New Roman" w:hAnsi="Times New Roman" w:cs="Times New Roman"/>
          <w:lang w:val="en-US"/>
        </w:rPr>
        <w:t xml:space="preserve">. The efficacy of </w:t>
      </w:r>
      <w:proofErr w:type="spellStart"/>
      <w:r w:rsidR="00D32D5D">
        <w:rPr>
          <w:rFonts w:ascii="Times New Roman" w:hAnsi="Times New Roman" w:cs="Times New Roman"/>
          <w:lang w:val="en-US"/>
        </w:rPr>
        <w:t>thiacloprid</w:t>
      </w:r>
      <w:proofErr w:type="spellEnd"/>
      <w:r w:rsidR="00D32D5D">
        <w:rPr>
          <w:rFonts w:ascii="Times New Roman" w:hAnsi="Times New Roman" w:cs="Times New Roman"/>
          <w:lang w:val="en-US"/>
        </w:rPr>
        <w:t xml:space="preserve"> was lower in the Baltic countries and Norway, with efficacy of 52-92%</w:t>
      </w:r>
      <w:r>
        <w:rPr>
          <w:rFonts w:ascii="Times New Roman" w:hAnsi="Times New Roman" w:cs="Times New Roman"/>
          <w:lang w:val="en-US"/>
        </w:rPr>
        <w:t>.</w:t>
      </w:r>
    </w:p>
    <w:p w:rsidR="001C3E85" w:rsidRDefault="001C3E85" w:rsidP="00C828EB">
      <w:pPr>
        <w:jc w:val="both"/>
        <w:rPr>
          <w:rFonts w:ascii="Times New Roman" w:hAnsi="Times New Roman" w:cs="Times New Roman"/>
          <w:lang w:val="en-US"/>
        </w:rPr>
      </w:pPr>
      <w:r w:rsidRPr="001C3E85">
        <w:rPr>
          <w:rFonts w:ascii="Times New Roman" w:hAnsi="Times New Roman" w:cs="Times New Roman"/>
          <w:lang w:val="en-US"/>
        </w:rPr>
        <w:t>Another neonicotinoid (</w:t>
      </w:r>
      <w:proofErr w:type="spellStart"/>
      <w:r w:rsidRPr="001C3E85">
        <w:rPr>
          <w:rFonts w:ascii="Times New Roman" w:hAnsi="Times New Roman" w:cs="Times New Roman"/>
          <w:lang w:val="en-US"/>
        </w:rPr>
        <w:t>acetamiprid</w:t>
      </w:r>
      <w:proofErr w:type="spellEnd"/>
      <w:r w:rsidR="00064607">
        <w:rPr>
          <w:rFonts w:ascii="Times New Roman" w:hAnsi="Times New Roman" w:cs="Times New Roman"/>
          <w:lang w:val="en-US"/>
        </w:rPr>
        <w:t xml:space="preserve">, </w:t>
      </w:r>
      <w:proofErr w:type="spellStart"/>
      <w:r w:rsidR="00064607">
        <w:rPr>
          <w:rFonts w:ascii="Times New Roman" w:hAnsi="Times New Roman" w:cs="Times New Roman"/>
          <w:lang w:val="en-US"/>
        </w:rPr>
        <w:t>Mospilan</w:t>
      </w:r>
      <w:proofErr w:type="spellEnd"/>
      <w:r w:rsidR="00064607">
        <w:rPr>
          <w:rFonts w:ascii="Times New Roman" w:hAnsi="Times New Roman" w:cs="Times New Roman"/>
          <w:lang w:val="en-US"/>
        </w:rPr>
        <w:t>®</w:t>
      </w:r>
      <w:r w:rsidRPr="001C3E85">
        <w:rPr>
          <w:rFonts w:ascii="Times New Roman" w:hAnsi="Times New Roman" w:cs="Times New Roman"/>
          <w:lang w:val="en-US"/>
        </w:rPr>
        <w:t>)</w:t>
      </w:r>
      <w:r w:rsidR="00BD7E68">
        <w:rPr>
          <w:rFonts w:ascii="Times New Roman" w:hAnsi="Times New Roman" w:cs="Times New Roman"/>
          <w:lang w:val="en-US"/>
        </w:rPr>
        <w:t xml:space="preserve"> have</w:t>
      </w:r>
      <w:r w:rsidRPr="001C3E85">
        <w:rPr>
          <w:rFonts w:ascii="Times New Roman" w:hAnsi="Times New Roman" w:cs="Times New Roman"/>
          <w:lang w:val="en-US"/>
        </w:rPr>
        <w:t xml:space="preserve"> been tested in pollen beetles. </w:t>
      </w:r>
      <w:r w:rsidR="00C828EB">
        <w:rPr>
          <w:rFonts w:ascii="Times New Roman" w:hAnsi="Times New Roman" w:cs="Times New Roman"/>
          <w:lang w:val="en-US"/>
        </w:rPr>
        <w:t xml:space="preserve">Method 021 uses </w:t>
      </w:r>
      <w:proofErr w:type="spellStart"/>
      <w:r w:rsidR="00C828EB">
        <w:rPr>
          <w:rFonts w:ascii="Times New Roman" w:hAnsi="Times New Roman" w:cs="Times New Roman"/>
          <w:lang w:val="en-US"/>
        </w:rPr>
        <w:t>thiaclorid</w:t>
      </w:r>
      <w:proofErr w:type="spellEnd"/>
      <w:r w:rsidR="00C828EB">
        <w:rPr>
          <w:rFonts w:ascii="Times New Roman" w:hAnsi="Times New Roman" w:cs="Times New Roman"/>
          <w:lang w:val="en-US"/>
        </w:rPr>
        <w:t xml:space="preserve"> at the standard neonicotinoid. Both </w:t>
      </w:r>
      <w:proofErr w:type="spellStart"/>
      <w:r w:rsidR="00C828EB" w:rsidRPr="001C3E85">
        <w:rPr>
          <w:rFonts w:ascii="Times New Roman" w:hAnsi="Times New Roman" w:cs="Times New Roman"/>
          <w:lang w:val="en-US"/>
        </w:rPr>
        <w:t>acetamiprid</w:t>
      </w:r>
      <w:proofErr w:type="spellEnd"/>
      <w:r w:rsidR="00C828EB" w:rsidRPr="001C3E85">
        <w:rPr>
          <w:rFonts w:ascii="Times New Roman" w:hAnsi="Times New Roman" w:cs="Times New Roman"/>
          <w:lang w:val="en-US"/>
        </w:rPr>
        <w:t xml:space="preserve"> and </w:t>
      </w:r>
      <w:proofErr w:type="spellStart"/>
      <w:r w:rsidR="00C828EB" w:rsidRPr="001C3E85">
        <w:rPr>
          <w:rFonts w:ascii="Times New Roman" w:hAnsi="Times New Roman" w:cs="Times New Roman"/>
          <w:lang w:val="en-US"/>
        </w:rPr>
        <w:t>thiacloprid</w:t>
      </w:r>
      <w:proofErr w:type="spellEnd"/>
      <w:r w:rsidR="00C828EB" w:rsidRPr="001C3E85">
        <w:rPr>
          <w:rFonts w:ascii="Times New Roman" w:hAnsi="Times New Roman" w:cs="Times New Roman"/>
          <w:lang w:val="en-US"/>
        </w:rPr>
        <w:t xml:space="preserve"> belong to the group of </w:t>
      </w:r>
      <w:proofErr w:type="spellStart"/>
      <w:r w:rsidR="00C828EB" w:rsidRPr="001C3E85">
        <w:rPr>
          <w:rFonts w:ascii="Times New Roman" w:hAnsi="Times New Roman" w:cs="Times New Roman"/>
          <w:lang w:val="en-US"/>
        </w:rPr>
        <w:t>chloropyridinyl</w:t>
      </w:r>
      <w:proofErr w:type="spellEnd"/>
      <w:r w:rsidR="00C828EB" w:rsidRPr="001C3E85">
        <w:rPr>
          <w:rFonts w:ascii="Times New Roman" w:hAnsi="Times New Roman" w:cs="Times New Roman"/>
          <w:lang w:val="en-US"/>
        </w:rPr>
        <w:t xml:space="preserve"> neonicotinoids</w:t>
      </w:r>
      <w:r w:rsidR="00C828EB">
        <w:rPr>
          <w:rFonts w:ascii="Times New Roman" w:hAnsi="Times New Roman" w:cs="Times New Roman"/>
          <w:lang w:val="en-US"/>
        </w:rPr>
        <w:t xml:space="preserve">, so it is sensible to also use Method 021 </w:t>
      </w:r>
      <w:r w:rsidRPr="001C3E85">
        <w:rPr>
          <w:rFonts w:ascii="Times New Roman" w:hAnsi="Times New Roman" w:cs="Times New Roman"/>
          <w:lang w:val="en-US"/>
        </w:rPr>
        <w:t xml:space="preserve">for the monitoring of </w:t>
      </w:r>
      <w:proofErr w:type="spellStart"/>
      <w:r w:rsidRPr="001C3E85">
        <w:rPr>
          <w:rFonts w:ascii="Times New Roman" w:hAnsi="Times New Roman" w:cs="Times New Roman"/>
          <w:lang w:val="en-US"/>
        </w:rPr>
        <w:t>acetamiprid</w:t>
      </w:r>
      <w:proofErr w:type="spellEnd"/>
      <w:r w:rsidR="00C828EB">
        <w:rPr>
          <w:rFonts w:ascii="Times New Roman" w:hAnsi="Times New Roman" w:cs="Times New Roman"/>
          <w:lang w:val="en-US"/>
        </w:rPr>
        <w:t>.</w:t>
      </w:r>
      <w:r w:rsidR="00BD7E68">
        <w:rPr>
          <w:rFonts w:ascii="Times New Roman" w:hAnsi="Times New Roman" w:cs="Times New Roman"/>
          <w:lang w:val="en-US"/>
        </w:rPr>
        <w:t xml:space="preserve"> Pollen beetles were tested at </w:t>
      </w:r>
      <w:r w:rsidR="009D76C3" w:rsidRPr="001C6161">
        <w:rPr>
          <w:rFonts w:ascii="Times New Roman" w:hAnsi="Times New Roman" w:cs="Times New Roman"/>
          <w:lang w:val="en-US"/>
        </w:rPr>
        <w:t>20%, 100% and 200% of the field rate</w:t>
      </w:r>
      <w:r w:rsidR="00C828EB">
        <w:rPr>
          <w:rFonts w:ascii="Times New Roman" w:hAnsi="Times New Roman" w:cs="Times New Roman"/>
          <w:lang w:val="en-US"/>
        </w:rPr>
        <w:t>, corresponding to 80</w:t>
      </w:r>
      <w:r w:rsidR="00C828EB" w:rsidRPr="00C828EB">
        <w:rPr>
          <w:rFonts w:ascii="Times New Roman" w:hAnsi="Times New Roman" w:cs="Times New Roman"/>
          <w:lang w:val="en-US"/>
        </w:rPr>
        <w:t xml:space="preserve"> </w:t>
      </w:r>
      <w:r w:rsidR="00C828EB" w:rsidRPr="001C6161">
        <w:rPr>
          <w:rFonts w:ascii="Times New Roman" w:hAnsi="Times New Roman" w:cs="Times New Roman"/>
          <w:lang w:val="en-US"/>
        </w:rPr>
        <w:t>ng/cm</w:t>
      </w:r>
      <w:r w:rsidR="00C828EB">
        <w:rPr>
          <w:rFonts w:ascii="Times New Roman" w:hAnsi="Times New Roman" w:cs="Times New Roman"/>
          <w:vertAlign w:val="superscript"/>
          <w:lang w:val="en-US"/>
        </w:rPr>
        <w:t>2</w:t>
      </w:r>
      <w:r w:rsidR="00C828EB">
        <w:rPr>
          <w:rFonts w:ascii="Times New Roman" w:hAnsi="Times New Roman" w:cs="Times New Roman"/>
          <w:lang w:val="en-US"/>
        </w:rPr>
        <w:t>, 400</w:t>
      </w:r>
      <w:r w:rsidR="00C828EB" w:rsidRPr="00C828EB">
        <w:rPr>
          <w:rFonts w:ascii="Times New Roman" w:hAnsi="Times New Roman" w:cs="Times New Roman"/>
          <w:lang w:val="en-US"/>
        </w:rPr>
        <w:t xml:space="preserve"> </w:t>
      </w:r>
      <w:r w:rsidR="00C828EB" w:rsidRPr="001C6161">
        <w:rPr>
          <w:rFonts w:ascii="Times New Roman" w:hAnsi="Times New Roman" w:cs="Times New Roman"/>
          <w:lang w:val="en-US"/>
        </w:rPr>
        <w:t>ng/cm</w:t>
      </w:r>
      <w:r w:rsidR="00C828EB">
        <w:rPr>
          <w:rFonts w:ascii="Times New Roman" w:hAnsi="Times New Roman" w:cs="Times New Roman"/>
          <w:vertAlign w:val="superscript"/>
          <w:lang w:val="en-US"/>
        </w:rPr>
        <w:t>2</w:t>
      </w:r>
      <w:r w:rsidR="00C828EB">
        <w:rPr>
          <w:rFonts w:ascii="Times New Roman" w:hAnsi="Times New Roman" w:cs="Times New Roman"/>
          <w:lang w:val="en-US"/>
        </w:rPr>
        <w:t xml:space="preserve"> and 800 </w:t>
      </w:r>
      <w:r w:rsidR="00C828EB" w:rsidRPr="001C6161">
        <w:rPr>
          <w:rFonts w:ascii="Times New Roman" w:hAnsi="Times New Roman" w:cs="Times New Roman"/>
          <w:lang w:val="en-US"/>
        </w:rPr>
        <w:t>ng/cm</w:t>
      </w:r>
      <w:r w:rsidR="00C828EB">
        <w:rPr>
          <w:rFonts w:ascii="Times New Roman" w:hAnsi="Times New Roman" w:cs="Times New Roman"/>
          <w:vertAlign w:val="superscript"/>
          <w:lang w:val="en-US"/>
        </w:rPr>
        <w:t>2</w:t>
      </w:r>
      <w:r w:rsidR="00C828EB">
        <w:rPr>
          <w:rFonts w:ascii="Times New Roman" w:hAnsi="Times New Roman" w:cs="Times New Roman"/>
          <w:lang w:val="en-US"/>
        </w:rPr>
        <w:t xml:space="preserve"> </w:t>
      </w:r>
      <w:proofErr w:type="spellStart"/>
      <w:r w:rsidR="00C828EB">
        <w:rPr>
          <w:rFonts w:ascii="Times New Roman" w:hAnsi="Times New Roman" w:cs="Times New Roman"/>
          <w:lang w:val="en-US"/>
        </w:rPr>
        <w:t>acetamiprid</w:t>
      </w:r>
      <w:proofErr w:type="spellEnd"/>
      <w:r w:rsidR="009D76C3">
        <w:rPr>
          <w:rFonts w:ascii="Times New Roman" w:hAnsi="Times New Roman" w:cs="Times New Roman"/>
          <w:lang w:val="en-US"/>
        </w:rPr>
        <w:t xml:space="preserve">. </w:t>
      </w:r>
    </w:p>
    <w:p w:rsidR="00784261" w:rsidRDefault="009D76C3" w:rsidP="00784261">
      <w:pPr>
        <w:jc w:val="both"/>
        <w:rPr>
          <w:rFonts w:ascii="Times New Roman" w:hAnsi="Times New Roman" w:cs="Times New Roman"/>
          <w:lang w:val="en-US"/>
        </w:rPr>
      </w:pPr>
      <w:r w:rsidRPr="001C6161">
        <w:rPr>
          <w:rFonts w:ascii="Times New Roman" w:hAnsi="Times New Roman" w:cs="Times New Roman"/>
          <w:lang w:val="en-US"/>
        </w:rPr>
        <w:t xml:space="preserve">Data was obtained from </w:t>
      </w:r>
      <w:r w:rsidR="007D6508">
        <w:rPr>
          <w:rFonts w:ascii="Times New Roman" w:hAnsi="Times New Roman" w:cs="Times New Roman"/>
          <w:lang w:val="en-US"/>
        </w:rPr>
        <w:t>Denmark</w:t>
      </w:r>
      <w:r w:rsidRPr="001C6161">
        <w:rPr>
          <w:rFonts w:ascii="Times New Roman" w:hAnsi="Times New Roman" w:cs="Times New Roman"/>
          <w:lang w:val="en-US"/>
        </w:rPr>
        <w:t xml:space="preserve"> and Sweden. A total of </w:t>
      </w:r>
      <w:r w:rsidR="007D6508">
        <w:rPr>
          <w:rFonts w:ascii="Times New Roman" w:hAnsi="Times New Roman" w:cs="Times New Roman"/>
          <w:lang w:val="en-US"/>
        </w:rPr>
        <w:t>18</w:t>
      </w:r>
      <w:r w:rsidRPr="001C6161">
        <w:rPr>
          <w:rFonts w:ascii="Times New Roman" w:hAnsi="Times New Roman" w:cs="Times New Roman"/>
          <w:lang w:val="en-US"/>
        </w:rPr>
        <w:t xml:space="preserve"> population samples were collected and tested in the lab.</w:t>
      </w:r>
      <w:r w:rsidR="00CF7742">
        <w:rPr>
          <w:rFonts w:ascii="Times New Roman" w:hAnsi="Times New Roman" w:cs="Times New Roman"/>
          <w:lang w:val="en-US"/>
        </w:rPr>
        <w:t xml:space="preserve"> </w:t>
      </w:r>
      <w:r w:rsidR="00CF7742" w:rsidRPr="001C6161">
        <w:rPr>
          <w:rFonts w:ascii="Times New Roman" w:hAnsi="Times New Roman" w:cs="Times New Roman"/>
          <w:lang w:val="en-US"/>
        </w:rPr>
        <w:t xml:space="preserve">The data presented here, is categorized according the observed mortality at </w:t>
      </w:r>
      <w:r w:rsidR="00CF7742">
        <w:rPr>
          <w:rFonts w:ascii="Times New Roman" w:hAnsi="Times New Roman" w:cs="Times New Roman"/>
          <w:lang w:val="en-US"/>
        </w:rPr>
        <w:t>800</w:t>
      </w:r>
      <w:r w:rsidR="00CF7742" w:rsidRPr="001C6161">
        <w:rPr>
          <w:rFonts w:ascii="Times New Roman" w:hAnsi="Times New Roman" w:cs="Times New Roman"/>
          <w:lang w:val="en-US"/>
        </w:rPr>
        <w:t xml:space="preserve"> ng/cm</w:t>
      </w:r>
      <w:r w:rsidR="00CF7742" w:rsidRPr="001C6161">
        <w:rPr>
          <w:rFonts w:ascii="Times New Roman" w:hAnsi="Times New Roman" w:cs="Times New Roman"/>
          <w:vertAlign w:val="superscript"/>
          <w:lang w:val="en-US"/>
        </w:rPr>
        <w:t>3</w:t>
      </w:r>
      <w:r w:rsidR="00CF7742">
        <w:rPr>
          <w:rFonts w:ascii="Times New Roman" w:hAnsi="Times New Roman" w:cs="Times New Roman"/>
          <w:lang w:val="en-US"/>
        </w:rPr>
        <w:t xml:space="preserve">, corresponding to 200% field rate, similar to that of </w:t>
      </w:r>
      <w:proofErr w:type="spellStart"/>
      <w:r w:rsidR="00CF7742">
        <w:rPr>
          <w:rFonts w:ascii="Times New Roman" w:hAnsi="Times New Roman" w:cs="Times New Roman"/>
          <w:lang w:val="en-US"/>
        </w:rPr>
        <w:t>thiacloprid</w:t>
      </w:r>
      <w:proofErr w:type="spellEnd"/>
      <w:r w:rsidR="00CF7742">
        <w:rPr>
          <w:rFonts w:ascii="Times New Roman" w:hAnsi="Times New Roman" w:cs="Times New Roman"/>
          <w:lang w:val="en-US"/>
        </w:rPr>
        <w:t xml:space="preserve">. </w:t>
      </w:r>
    </w:p>
    <w:p w:rsidR="00784261" w:rsidRPr="00784261" w:rsidRDefault="00784261" w:rsidP="00784261">
      <w:pPr>
        <w:jc w:val="both"/>
        <w:rPr>
          <w:rFonts w:ascii="Times New Roman" w:hAnsi="Times New Roman" w:cs="Times New Roman"/>
          <w:lang w:val="en-US"/>
        </w:rPr>
      </w:pPr>
    </w:p>
    <w:p w:rsidR="00784261" w:rsidRDefault="00784261">
      <w:pPr>
        <w:rPr>
          <w:rFonts w:ascii="Times New Roman" w:eastAsiaTheme="majorEastAsia" w:hAnsi="Times New Roman" w:cs="Times New Roman"/>
          <w:b/>
          <w:iCs/>
          <w:sz w:val="24"/>
          <w:lang w:val="en-US"/>
        </w:rPr>
      </w:pPr>
      <w:r>
        <w:rPr>
          <w:rFonts w:ascii="Times New Roman" w:hAnsi="Times New Roman" w:cs="Times New Roman"/>
          <w:b/>
          <w:i/>
          <w:sz w:val="24"/>
          <w:lang w:val="en-US"/>
        </w:rPr>
        <w:br w:type="page"/>
      </w:r>
    </w:p>
    <w:p w:rsidR="004A1CA8" w:rsidRPr="0047151B" w:rsidRDefault="004A1CA8" w:rsidP="004A1CA8">
      <w:pPr>
        <w:pStyle w:val="Heading4"/>
        <w:rPr>
          <w:rFonts w:ascii="Times New Roman" w:hAnsi="Times New Roman" w:cs="Times New Roman"/>
          <w:b/>
          <w:i w:val="0"/>
          <w:color w:val="auto"/>
          <w:sz w:val="24"/>
          <w:lang w:val="en-US"/>
        </w:rPr>
      </w:pPr>
      <w:r w:rsidRPr="0047151B">
        <w:rPr>
          <w:rFonts w:ascii="Times New Roman" w:hAnsi="Times New Roman" w:cs="Times New Roman"/>
          <w:b/>
          <w:i w:val="0"/>
          <w:color w:val="auto"/>
          <w:sz w:val="24"/>
          <w:lang w:val="en-US"/>
        </w:rPr>
        <w:lastRenderedPageBreak/>
        <w:t>Results (</w:t>
      </w:r>
      <w:proofErr w:type="spellStart"/>
      <w:r w:rsidR="00CE5EB3">
        <w:rPr>
          <w:rFonts w:ascii="Times New Roman" w:hAnsi="Times New Roman" w:cs="Times New Roman"/>
          <w:b/>
          <w:i w:val="0"/>
          <w:color w:val="auto"/>
          <w:sz w:val="24"/>
          <w:lang w:val="en-US"/>
        </w:rPr>
        <w:t>A</w:t>
      </w:r>
      <w:r w:rsidR="00336FE5" w:rsidRPr="00336FE5">
        <w:rPr>
          <w:rFonts w:ascii="Times New Roman" w:hAnsi="Times New Roman" w:cs="Times New Roman"/>
          <w:b/>
          <w:i w:val="0"/>
          <w:color w:val="auto"/>
          <w:sz w:val="24"/>
          <w:lang w:val="en-US"/>
        </w:rPr>
        <w:t>cetamiprid</w:t>
      </w:r>
      <w:proofErr w:type="spellEnd"/>
      <w:r w:rsidRPr="0047151B">
        <w:rPr>
          <w:rFonts w:ascii="Times New Roman" w:hAnsi="Times New Roman" w:cs="Times New Roman"/>
          <w:b/>
          <w:i w:val="0"/>
          <w:color w:val="auto"/>
          <w:sz w:val="24"/>
          <w:lang w:val="en-US"/>
        </w:rPr>
        <w:t>)</w:t>
      </w:r>
    </w:p>
    <w:p w:rsidR="007D6508" w:rsidRDefault="007D6508" w:rsidP="007D6508">
      <w:pPr>
        <w:jc w:val="both"/>
        <w:rPr>
          <w:rFonts w:ascii="Times New Roman" w:hAnsi="Times New Roman" w:cs="Times New Roman"/>
          <w:lang w:val="en-US"/>
        </w:rPr>
      </w:pPr>
      <w:r>
        <w:rPr>
          <w:noProof/>
          <w:lang w:val="en-US"/>
        </w:rPr>
        <w:drawing>
          <wp:inline distT="0" distB="0" distL="0" distR="0" wp14:anchorId="405D27AF" wp14:editId="4E108351">
            <wp:extent cx="4774019" cy="2647507"/>
            <wp:effectExtent l="0" t="0" r="762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6508" w:rsidRDefault="007D6508" w:rsidP="007D6508">
      <w:pPr>
        <w:jc w:val="both"/>
        <w:rPr>
          <w:rFonts w:ascii="Times New Roman" w:hAnsi="Times New Roman" w:cs="Times New Roman"/>
          <w:lang w:val="en-US"/>
        </w:rPr>
      </w:pPr>
      <w:r>
        <w:rPr>
          <w:rFonts w:ascii="Times New Roman" w:hAnsi="Times New Roman" w:cs="Times New Roman"/>
          <w:lang w:val="en-US"/>
        </w:rPr>
        <w:t xml:space="preserve">The majority of populations samples tested proved susceptible to </w:t>
      </w:r>
      <w:proofErr w:type="spellStart"/>
      <w:r>
        <w:rPr>
          <w:rFonts w:ascii="Times New Roman" w:hAnsi="Times New Roman" w:cs="Times New Roman"/>
          <w:lang w:val="en-US"/>
        </w:rPr>
        <w:t>acetamiprid</w:t>
      </w:r>
      <w:proofErr w:type="spellEnd"/>
      <w:r>
        <w:rPr>
          <w:rFonts w:ascii="Times New Roman" w:hAnsi="Times New Roman" w:cs="Times New Roman"/>
          <w:lang w:val="en-US"/>
        </w:rPr>
        <w:t xml:space="preserve">. In Sweden, </w:t>
      </w:r>
      <w:proofErr w:type="spellStart"/>
      <w:r>
        <w:rPr>
          <w:rFonts w:ascii="Times New Roman" w:hAnsi="Times New Roman" w:cs="Times New Roman"/>
          <w:lang w:val="en-US"/>
        </w:rPr>
        <w:t>acetamiprid</w:t>
      </w:r>
      <w:proofErr w:type="spellEnd"/>
      <w:r>
        <w:rPr>
          <w:rFonts w:ascii="Times New Roman" w:hAnsi="Times New Roman" w:cs="Times New Roman"/>
          <w:lang w:val="en-US"/>
        </w:rPr>
        <w:t xml:space="preserve"> </w:t>
      </w:r>
      <w:r w:rsidR="005C2843">
        <w:rPr>
          <w:rFonts w:ascii="Times New Roman" w:hAnsi="Times New Roman" w:cs="Times New Roman"/>
          <w:lang w:val="en-US"/>
        </w:rPr>
        <w:t>proved effective in all but</w:t>
      </w:r>
      <w:r>
        <w:rPr>
          <w:rFonts w:ascii="Times New Roman" w:hAnsi="Times New Roman" w:cs="Times New Roman"/>
          <w:lang w:val="en-US"/>
        </w:rPr>
        <w:t xml:space="preserve"> a single sample </w:t>
      </w:r>
      <w:r w:rsidR="005C2843">
        <w:rPr>
          <w:rFonts w:ascii="Times New Roman" w:hAnsi="Times New Roman" w:cs="Times New Roman"/>
          <w:lang w:val="en-US"/>
        </w:rPr>
        <w:t xml:space="preserve">while in Denmark, </w:t>
      </w:r>
      <w:proofErr w:type="spellStart"/>
      <w:r w:rsidR="005C2843">
        <w:rPr>
          <w:rFonts w:ascii="Times New Roman" w:hAnsi="Times New Roman" w:cs="Times New Roman"/>
          <w:lang w:val="en-US"/>
        </w:rPr>
        <w:t>acetamiprid</w:t>
      </w:r>
      <w:proofErr w:type="spellEnd"/>
      <w:r w:rsidR="005C2843">
        <w:rPr>
          <w:rFonts w:ascii="Times New Roman" w:hAnsi="Times New Roman" w:cs="Times New Roman"/>
          <w:lang w:val="en-US"/>
        </w:rPr>
        <w:t xml:space="preserve"> had an </w:t>
      </w:r>
      <w:proofErr w:type="spellStart"/>
      <w:r w:rsidR="005C2843">
        <w:rPr>
          <w:rFonts w:ascii="Times New Roman" w:hAnsi="Times New Roman" w:cs="Times New Roman"/>
          <w:lang w:val="en-US"/>
        </w:rPr>
        <w:t>effeictive</w:t>
      </w:r>
      <w:proofErr w:type="spellEnd"/>
      <w:r w:rsidR="005C2843">
        <w:rPr>
          <w:rFonts w:ascii="Times New Roman" w:hAnsi="Times New Roman" w:cs="Times New Roman"/>
          <w:lang w:val="en-US"/>
        </w:rPr>
        <w:t xml:space="preserve"> above 95% in half of the samples and 75-95% in the other half of the population samples.</w:t>
      </w:r>
    </w:p>
    <w:p w:rsidR="00784261" w:rsidRPr="007D6508" w:rsidRDefault="00784261" w:rsidP="007D6508">
      <w:pPr>
        <w:jc w:val="both"/>
        <w:rPr>
          <w:rFonts w:ascii="Times New Roman" w:hAnsi="Times New Roman" w:cs="Times New Roman"/>
          <w:lang w:val="en-US"/>
        </w:rPr>
      </w:pPr>
    </w:p>
    <w:p w:rsidR="004A1CA8" w:rsidRDefault="004A1CA8" w:rsidP="004A1CA8">
      <w:pPr>
        <w:pStyle w:val="Heading4"/>
        <w:rPr>
          <w:rFonts w:ascii="Times New Roman" w:hAnsi="Times New Roman" w:cs="Times New Roman"/>
          <w:b/>
          <w:i w:val="0"/>
          <w:color w:val="auto"/>
          <w:sz w:val="24"/>
          <w:highlight w:val="yellow"/>
          <w:lang w:val="en-US"/>
        </w:rPr>
      </w:pPr>
      <w:r w:rsidRPr="003C3901">
        <w:rPr>
          <w:rFonts w:ascii="Times New Roman" w:hAnsi="Times New Roman" w:cs="Times New Roman"/>
          <w:b/>
          <w:i w:val="0"/>
          <w:color w:val="auto"/>
          <w:sz w:val="24"/>
          <w:lang w:val="en-US"/>
        </w:rPr>
        <w:t>C</w:t>
      </w:r>
      <w:r w:rsidR="00650350" w:rsidRPr="003C3901">
        <w:rPr>
          <w:rFonts w:ascii="Times New Roman" w:hAnsi="Times New Roman" w:cs="Times New Roman"/>
          <w:b/>
          <w:i w:val="0"/>
          <w:color w:val="auto"/>
          <w:sz w:val="24"/>
          <w:lang w:val="en-US"/>
        </w:rPr>
        <w:t>onclusion</w:t>
      </w:r>
    </w:p>
    <w:p w:rsidR="00650350" w:rsidRPr="001C6161" w:rsidRDefault="00650350" w:rsidP="00F84226">
      <w:pPr>
        <w:jc w:val="both"/>
        <w:rPr>
          <w:rFonts w:ascii="Times New Roman" w:hAnsi="Times New Roman" w:cs="Times New Roman"/>
          <w:lang w:val="en-US"/>
        </w:rPr>
      </w:pPr>
      <w:r>
        <w:rPr>
          <w:rFonts w:ascii="Times New Roman" w:hAnsi="Times New Roman" w:cs="Times New Roman"/>
          <w:lang w:val="en-US"/>
        </w:rPr>
        <w:t xml:space="preserve">Both </w:t>
      </w:r>
      <w:proofErr w:type="spellStart"/>
      <w:r>
        <w:rPr>
          <w:rFonts w:ascii="Times New Roman" w:hAnsi="Times New Roman" w:cs="Times New Roman"/>
          <w:lang w:val="en-US"/>
        </w:rPr>
        <w:t>thiacloprid</w:t>
      </w:r>
      <w:proofErr w:type="spellEnd"/>
      <w:r>
        <w:rPr>
          <w:rFonts w:ascii="Times New Roman" w:hAnsi="Times New Roman" w:cs="Times New Roman"/>
          <w:lang w:val="en-US"/>
        </w:rPr>
        <w:t xml:space="preserve"> and </w:t>
      </w:r>
      <w:proofErr w:type="spellStart"/>
      <w:r>
        <w:rPr>
          <w:rFonts w:ascii="Times New Roman" w:hAnsi="Times New Roman" w:cs="Times New Roman"/>
          <w:lang w:val="en-US"/>
        </w:rPr>
        <w:t>acetamid</w:t>
      </w:r>
      <w:proofErr w:type="spellEnd"/>
      <w:r>
        <w:rPr>
          <w:rFonts w:ascii="Times New Roman" w:hAnsi="Times New Roman" w:cs="Times New Roman"/>
          <w:lang w:val="en-US"/>
        </w:rPr>
        <w:t xml:space="preserve"> </w:t>
      </w:r>
      <w:r>
        <w:rPr>
          <w:rFonts w:ascii="Times New Roman" w:hAnsi="Times New Roman" w:cs="Times New Roman"/>
          <w:lang w:val="en-US"/>
        </w:rPr>
        <w:t xml:space="preserve">function as </w:t>
      </w:r>
      <w:r w:rsidR="00815F53">
        <w:rPr>
          <w:rFonts w:ascii="Times New Roman" w:hAnsi="Times New Roman" w:cs="Times New Roman"/>
          <w:lang w:val="en-US"/>
        </w:rPr>
        <w:t xml:space="preserve">postsynaptic nicotinic acetyl choline receptor </w:t>
      </w:r>
      <w:r>
        <w:rPr>
          <w:rFonts w:ascii="Times New Roman" w:hAnsi="Times New Roman" w:cs="Times New Roman"/>
          <w:lang w:val="en-US"/>
        </w:rPr>
        <w:t xml:space="preserve">modulators, stimulating repetitive nerve discharges, leading to death through paralysis. Results obtained in the laboratory setting using the adult vial test is not directly referable to field performance of the product, but can give indications of possible control issues. Based on 2017 trials, control issues for </w:t>
      </w:r>
      <w:proofErr w:type="spellStart"/>
      <w:r w:rsidR="00815F53">
        <w:rPr>
          <w:rFonts w:ascii="Times New Roman" w:hAnsi="Times New Roman" w:cs="Times New Roman"/>
          <w:lang w:val="en-US"/>
        </w:rPr>
        <w:t>thiacloprid</w:t>
      </w:r>
      <w:proofErr w:type="spellEnd"/>
      <w:r>
        <w:rPr>
          <w:rFonts w:ascii="Times New Roman" w:hAnsi="Times New Roman" w:cs="Times New Roman"/>
          <w:lang w:val="en-US"/>
        </w:rPr>
        <w:t xml:space="preserve"> might already be present in the field as data show a large proportion of populations</w:t>
      </w:r>
      <w:r w:rsidR="00815F53">
        <w:rPr>
          <w:rFonts w:ascii="Times New Roman" w:hAnsi="Times New Roman" w:cs="Times New Roman"/>
          <w:lang w:val="en-US"/>
        </w:rPr>
        <w:t xml:space="preserve"> with decreased efficacy of </w:t>
      </w:r>
      <w:proofErr w:type="spellStart"/>
      <w:r w:rsidR="00815F53">
        <w:rPr>
          <w:rFonts w:ascii="Times New Roman" w:hAnsi="Times New Roman" w:cs="Times New Roman"/>
          <w:lang w:val="en-US"/>
        </w:rPr>
        <w:t>thiacloprid</w:t>
      </w:r>
      <w:proofErr w:type="spellEnd"/>
      <w:r w:rsidR="00815F53">
        <w:rPr>
          <w:rFonts w:ascii="Times New Roman" w:hAnsi="Times New Roman" w:cs="Times New Roman"/>
          <w:lang w:val="en-US"/>
        </w:rPr>
        <w:t>, especially in the Baltics</w:t>
      </w:r>
      <w:r>
        <w:rPr>
          <w:rFonts w:ascii="Times New Roman" w:hAnsi="Times New Roman" w:cs="Times New Roman"/>
          <w:lang w:val="en-US"/>
        </w:rPr>
        <w:t xml:space="preserve">. </w:t>
      </w:r>
      <w:r w:rsidR="00815F53">
        <w:rPr>
          <w:rFonts w:ascii="Times New Roman" w:hAnsi="Times New Roman" w:cs="Times New Roman"/>
          <w:lang w:val="en-US"/>
        </w:rPr>
        <w:t xml:space="preserve">In Denmark and Sweden control issues seem less pronounced. The same pattern was observed for trials conducted with </w:t>
      </w:r>
      <w:proofErr w:type="spellStart"/>
      <w:r w:rsidR="00815F53">
        <w:rPr>
          <w:rFonts w:ascii="Times New Roman" w:hAnsi="Times New Roman" w:cs="Times New Roman"/>
          <w:lang w:val="en-US"/>
        </w:rPr>
        <w:t>acetamiprid</w:t>
      </w:r>
      <w:proofErr w:type="spellEnd"/>
      <w:r w:rsidR="00815F53">
        <w:rPr>
          <w:rFonts w:ascii="Times New Roman" w:hAnsi="Times New Roman" w:cs="Times New Roman"/>
          <w:lang w:val="en-US"/>
        </w:rPr>
        <w:t>, with few sa</w:t>
      </w:r>
      <w:r w:rsidR="00F84226">
        <w:rPr>
          <w:rFonts w:ascii="Times New Roman" w:hAnsi="Times New Roman" w:cs="Times New Roman"/>
          <w:lang w:val="en-US"/>
        </w:rPr>
        <w:t>m</w:t>
      </w:r>
      <w:r w:rsidR="00815F53">
        <w:rPr>
          <w:rFonts w:ascii="Times New Roman" w:hAnsi="Times New Roman" w:cs="Times New Roman"/>
          <w:lang w:val="en-US"/>
        </w:rPr>
        <w:t>ples</w:t>
      </w:r>
      <w:r w:rsidR="00F84226">
        <w:rPr>
          <w:rFonts w:ascii="Times New Roman" w:hAnsi="Times New Roman" w:cs="Times New Roman"/>
          <w:lang w:val="en-US"/>
        </w:rPr>
        <w:t xml:space="preserve"> with low efficacy of the neonicotinoid. </w:t>
      </w:r>
    </w:p>
    <w:p w:rsidR="004A1CA8" w:rsidRPr="001C6161" w:rsidRDefault="004A1CA8" w:rsidP="001F1F59">
      <w:pPr>
        <w:jc w:val="both"/>
        <w:rPr>
          <w:rFonts w:ascii="Times New Roman" w:hAnsi="Times New Roman" w:cs="Times New Roman"/>
          <w:lang w:val="en-US"/>
        </w:rPr>
      </w:pPr>
    </w:p>
    <w:p w:rsidR="00DC7477" w:rsidRPr="001C6161" w:rsidRDefault="001C6161" w:rsidP="001F1F59">
      <w:pPr>
        <w:pStyle w:val="Heading3"/>
        <w:jc w:val="both"/>
        <w:rPr>
          <w:rFonts w:ascii="Times New Roman" w:hAnsi="Times New Roman" w:cs="Times New Roman"/>
          <w:b/>
          <w:color w:val="auto"/>
          <w:lang w:val="en-US"/>
        </w:rPr>
      </w:pPr>
      <w:r w:rsidRPr="001C6161">
        <w:rPr>
          <w:rFonts w:ascii="Times New Roman" w:hAnsi="Times New Roman" w:cs="Times New Roman"/>
          <w:b/>
          <w:color w:val="auto"/>
          <w:lang w:val="en-US"/>
        </w:rPr>
        <w:t>Method 027 (</w:t>
      </w:r>
      <w:proofErr w:type="spellStart"/>
      <w:r w:rsidR="00DC7477" w:rsidRPr="001C6161">
        <w:rPr>
          <w:rFonts w:ascii="Times New Roman" w:hAnsi="Times New Roman" w:cs="Times New Roman"/>
          <w:b/>
          <w:color w:val="auto"/>
          <w:lang w:val="en-US"/>
        </w:rPr>
        <w:t>Indoxacarb</w:t>
      </w:r>
      <w:proofErr w:type="spellEnd"/>
      <w:r w:rsidR="00DC7477" w:rsidRPr="001C6161">
        <w:rPr>
          <w:rFonts w:ascii="Times New Roman" w:hAnsi="Times New Roman" w:cs="Times New Roman"/>
          <w:b/>
          <w:color w:val="auto"/>
          <w:lang w:val="en-US"/>
        </w:rPr>
        <w:t>)</w:t>
      </w:r>
    </w:p>
    <w:p w:rsidR="00637067" w:rsidRDefault="00BB5F07" w:rsidP="001F1F59">
      <w:pPr>
        <w:jc w:val="both"/>
        <w:rPr>
          <w:rFonts w:ascii="Times New Roman" w:hAnsi="Times New Roman" w:cs="Times New Roman"/>
          <w:lang w:val="en-US"/>
        </w:rPr>
      </w:pPr>
      <w:r w:rsidRPr="001C6161">
        <w:rPr>
          <w:rFonts w:ascii="Times New Roman" w:hAnsi="Times New Roman" w:cs="Times New Roman"/>
          <w:lang w:val="en-US"/>
        </w:rPr>
        <w:t>Method 02</w:t>
      </w:r>
      <w:r>
        <w:rPr>
          <w:rFonts w:ascii="Times New Roman" w:hAnsi="Times New Roman" w:cs="Times New Roman"/>
          <w:lang w:val="en-US"/>
        </w:rPr>
        <w:t xml:space="preserve">7 tests the effect of </w:t>
      </w:r>
      <w:proofErr w:type="spellStart"/>
      <w:r>
        <w:rPr>
          <w:rFonts w:ascii="Times New Roman" w:hAnsi="Times New Roman" w:cs="Times New Roman"/>
          <w:lang w:val="en-US"/>
        </w:rPr>
        <w:t>indoxacarb</w:t>
      </w:r>
      <w:proofErr w:type="spellEnd"/>
      <w:r>
        <w:rPr>
          <w:rFonts w:ascii="Times New Roman" w:hAnsi="Times New Roman" w:cs="Times New Roman"/>
          <w:lang w:val="en-US"/>
        </w:rPr>
        <w:t xml:space="preserve"> </w:t>
      </w:r>
      <w:r w:rsidRPr="001C6161">
        <w:rPr>
          <w:rFonts w:ascii="Times New Roman" w:hAnsi="Times New Roman" w:cs="Times New Roman"/>
          <w:lang w:val="en-US"/>
        </w:rPr>
        <w:t xml:space="preserve">on pollen beetles in a laboratory setting. This method is widely used for monitoring purposes for </w:t>
      </w:r>
      <w:r w:rsidRPr="001C6161">
        <w:rPr>
          <w:rFonts w:ascii="Times New Roman" w:hAnsi="Times New Roman" w:cs="Times New Roman"/>
          <w:i/>
          <w:lang w:val="en-US"/>
        </w:rPr>
        <w:t>M. aeneus</w:t>
      </w:r>
      <w:r w:rsidRPr="001C6161">
        <w:rPr>
          <w:rFonts w:ascii="Times New Roman" w:hAnsi="Times New Roman" w:cs="Times New Roman"/>
          <w:lang w:val="en-US"/>
        </w:rPr>
        <w:t xml:space="preserve"> throughout Europe. </w:t>
      </w:r>
      <w:r>
        <w:rPr>
          <w:rFonts w:ascii="Times New Roman" w:hAnsi="Times New Roman" w:cs="Times New Roman"/>
          <w:lang w:val="en-US"/>
        </w:rPr>
        <w:t xml:space="preserve">It is an adaption of Method 011 (synthetic </w:t>
      </w:r>
      <w:proofErr w:type="spellStart"/>
      <w:r>
        <w:rPr>
          <w:rFonts w:ascii="Times New Roman" w:hAnsi="Times New Roman" w:cs="Times New Roman"/>
          <w:lang w:val="en-US"/>
        </w:rPr>
        <w:t>pyrethroids</w:t>
      </w:r>
      <w:proofErr w:type="spellEnd"/>
      <w:r>
        <w:rPr>
          <w:rFonts w:ascii="Times New Roman" w:hAnsi="Times New Roman" w:cs="Times New Roman"/>
          <w:lang w:val="en-US"/>
        </w:rPr>
        <w:t xml:space="preserve">). </w:t>
      </w:r>
      <w:r w:rsidRPr="001C6161">
        <w:rPr>
          <w:rFonts w:ascii="Times New Roman" w:hAnsi="Times New Roman" w:cs="Times New Roman"/>
          <w:lang w:val="en-US"/>
        </w:rPr>
        <w:t xml:space="preserve">Beetles are placed in glass vials coated with </w:t>
      </w:r>
      <w:proofErr w:type="spellStart"/>
      <w:r>
        <w:rPr>
          <w:rFonts w:ascii="Times New Roman" w:hAnsi="Times New Roman" w:cs="Times New Roman"/>
          <w:lang w:val="en-US"/>
        </w:rPr>
        <w:t>indoxacarb</w:t>
      </w:r>
      <w:proofErr w:type="spellEnd"/>
      <w:r w:rsidRPr="001C6161">
        <w:rPr>
          <w:rFonts w:ascii="Times New Roman" w:hAnsi="Times New Roman" w:cs="Times New Roman"/>
          <w:lang w:val="en-US"/>
        </w:rPr>
        <w:t xml:space="preserve"> for 24 hours, after which number of affected and alive beetles are noted and % of affected beetles is calculated.</w:t>
      </w:r>
      <w:r>
        <w:rPr>
          <w:rFonts w:ascii="Times New Roman" w:hAnsi="Times New Roman" w:cs="Times New Roman"/>
          <w:lang w:val="en-US"/>
        </w:rPr>
        <w:t xml:space="preserve"> Pollen beetles </w:t>
      </w:r>
      <w:r w:rsidR="00B64DC1">
        <w:rPr>
          <w:rFonts w:ascii="Times New Roman" w:hAnsi="Times New Roman" w:cs="Times New Roman"/>
          <w:lang w:val="en-US"/>
        </w:rPr>
        <w:t xml:space="preserve">should be </w:t>
      </w:r>
      <w:r>
        <w:rPr>
          <w:rFonts w:ascii="Times New Roman" w:hAnsi="Times New Roman" w:cs="Times New Roman"/>
          <w:lang w:val="en-US"/>
        </w:rPr>
        <w:t>tested at 63.75 and 255 ng/cm</w:t>
      </w:r>
      <w:r w:rsidRPr="00BB5F07">
        <w:rPr>
          <w:rFonts w:ascii="Times New Roman" w:hAnsi="Times New Roman" w:cs="Times New Roman"/>
          <w:vertAlign w:val="superscript"/>
          <w:lang w:val="en-US"/>
        </w:rPr>
        <w:t>3</w:t>
      </w:r>
      <w:r>
        <w:rPr>
          <w:rFonts w:ascii="Times New Roman" w:hAnsi="Times New Roman" w:cs="Times New Roman"/>
          <w:lang w:val="en-US"/>
        </w:rPr>
        <w:t>, correspon</w:t>
      </w:r>
      <w:r w:rsidR="00B64DC1">
        <w:rPr>
          <w:rFonts w:ascii="Times New Roman" w:hAnsi="Times New Roman" w:cs="Times New Roman"/>
          <w:lang w:val="en-US"/>
        </w:rPr>
        <w:t>ding to 20% and 100% field rate as a minimum. At these rates, a</w:t>
      </w:r>
      <w:r w:rsidR="00945FCD">
        <w:rPr>
          <w:rFonts w:ascii="Times New Roman" w:hAnsi="Times New Roman" w:cs="Times New Roman"/>
          <w:lang w:val="en-US"/>
        </w:rPr>
        <w:t>n</w:t>
      </w:r>
      <w:r w:rsidR="00B64DC1">
        <w:rPr>
          <w:rFonts w:ascii="Times New Roman" w:hAnsi="Times New Roman" w:cs="Times New Roman"/>
          <w:lang w:val="en-US"/>
        </w:rPr>
        <w:t xml:space="preserve"> obser</w:t>
      </w:r>
      <w:r w:rsidR="00784261">
        <w:rPr>
          <w:rFonts w:ascii="Times New Roman" w:hAnsi="Times New Roman" w:cs="Times New Roman"/>
          <w:lang w:val="en-US"/>
        </w:rPr>
        <w:t>ved mortality &gt;90% is excepted.</w:t>
      </w:r>
    </w:p>
    <w:p w:rsidR="00336FE5" w:rsidRPr="0047151B" w:rsidRDefault="00336FE5" w:rsidP="00336FE5">
      <w:pPr>
        <w:pStyle w:val="Heading4"/>
        <w:rPr>
          <w:rFonts w:ascii="Times New Roman" w:hAnsi="Times New Roman" w:cs="Times New Roman"/>
          <w:b/>
          <w:i w:val="0"/>
          <w:color w:val="auto"/>
          <w:sz w:val="24"/>
          <w:lang w:val="en-US"/>
        </w:rPr>
      </w:pPr>
      <w:r w:rsidRPr="0047151B">
        <w:rPr>
          <w:rFonts w:ascii="Times New Roman" w:hAnsi="Times New Roman" w:cs="Times New Roman"/>
          <w:b/>
          <w:i w:val="0"/>
          <w:color w:val="auto"/>
          <w:sz w:val="24"/>
          <w:lang w:val="en-US"/>
        </w:rPr>
        <w:lastRenderedPageBreak/>
        <w:t xml:space="preserve">Results </w:t>
      </w:r>
      <w:r w:rsidR="00784261">
        <w:rPr>
          <w:rFonts w:ascii="Times New Roman" w:hAnsi="Times New Roman" w:cs="Times New Roman"/>
          <w:b/>
          <w:i w:val="0"/>
          <w:color w:val="auto"/>
          <w:sz w:val="24"/>
          <w:lang w:val="en-US"/>
        </w:rPr>
        <w:t>(</w:t>
      </w:r>
      <w:proofErr w:type="spellStart"/>
      <w:r w:rsidR="00784261">
        <w:rPr>
          <w:rFonts w:ascii="Times New Roman" w:hAnsi="Times New Roman" w:cs="Times New Roman"/>
          <w:b/>
          <w:i w:val="0"/>
          <w:color w:val="auto"/>
          <w:sz w:val="24"/>
          <w:lang w:val="en-US"/>
        </w:rPr>
        <w:t>Indoxacarb</w:t>
      </w:r>
      <w:proofErr w:type="spellEnd"/>
      <w:r w:rsidR="00784261">
        <w:rPr>
          <w:rFonts w:ascii="Times New Roman" w:hAnsi="Times New Roman" w:cs="Times New Roman"/>
          <w:b/>
          <w:i w:val="0"/>
          <w:color w:val="auto"/>
          <w:sz w:val="24"/>
          <w:lang w:val="en-US"/>
        </w:rPr>
        <w:t>)</w:t>
      </w:r>
    </w:p>
    <w:p w:rsidR="00336FE5" w:rsidRDefault="00945FCD" w:rsidP="00336FE5">
      <w:pPr>
        <w:jc w:val="both"/>
        <w:rPr>
          <w:rFonts w:ascii="Times New Roman" w:hAnsi="Times New Roman" w:cs="Times New Roman"/>
          <w:lang w:val="en-US"/>
        </w:rPr>
      </w:pPr>
      <w:r>
        <w:rPr>
          <w:noProof/>
          <w:lang w:val="en-US"/>
        </w:rPr>
        <w:drawing>
          <wp:inline distT="0" distB="0" distL="0" distR="0" wp14:anchorId="342591A2" wp14:editId="5DA4679D">
            <wp:extent cx="3260785" cy="2622430"/>
            <wp:effectExtent l="0" t="0" r="15875" b="698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5FCD" w:rsidRDefault="00945FCD" w:rsidP="00945FCD">
      <w:pPr>
        <w:jc w:val="both"/>
        <w:rPr>
          <w:rFonts w:ascii="Times New Roman" w:hAnsi="Times New Roman" w:cs="Times New Roman"/>
          <w:lang w:val="en-US"/>
        </w:rPr>
      </w:pPr>
      <w:r w:rsidRPr="00945FCD">
        <w:rPr>
          <w:rFonts w:ascii="Times New Roman" w:hAnsi="Times New Roman" w:cs="Times New Roman"/>
          <w:lang w:val="en-US"/>
        </w:rPr>
        <w:t xml:space="preserve">Nine samples were collected in Norway and tested in the laboratory. </w:t>
      </w:r>
      <w:proofErr w:type="spellStart"/>
      <w:r w:rsidRPr="00945FCD">
        <w:rPr>
          <w:rFonts w:ascii="Times New Roman" w:hAnsi="Times New Roman" w:cs="Times New Roman"/>
          <w:lang w:val="en-US"/>
        </w:rPr>
        <w:t>Indoxacarb</w:t>
      </w:r>
      <w:proofErr w:type="spellEnd"/>
      <w:r w:rsidRPr="00945FCD">
        <w:rPr>
          <w:rFonts w:ascii="Times New Roman" w:hAnsi="Times New Roman" w:cs="Times New Roman"/>
          <w:lang w:val="en-US"/>
        </w:rPr>
        <w:t xml:space="preserve"> had an efficacy &gt;90% for all population samples.</w:t>
      </w:r>
      <w:r>
        <w:rPr>
          <w:rFonts w:ascii="Times New Roman" w:hAnsi="Times New Roman" w:cs="Times New Roman"/>
          <w:lang w:val="en-US"/>
        </w:rPr>
        <w:t xml:space="preserve"> </w:t>
      </w:r>
      <w:r>
        <w:rPr>
          <w:rFonts w:ascii="Times New Roman" w:hAnsi="Times New Roman" w:cs="Times New Roman"/>
          <w:lang w:val="en-US"/>
        </w:rPr>
        <w:t>Results obtained in the laboratory setting using the adult vial test is not directly referable to field performance of the product, but can give indications of possible control issues.</w:t>
      </w:r>
      <w:r>
        <w:rPr>
          <w:rFonts w:ascii="Times New Roman" w:hAnsi="Times New Roman" w:cs="Times New Roman"/>
          <w:lang w:val="en-US"/>
        </w:rPr>
        <w:t xml:space="preserve"> So far, it seems there is no control issues with </w:t>
      </w:r>
      <w:proofErr w:type="spellStart"/>
      <w:r>
        <w:rPr>
          <w:rFonts w:ascii="Times New Roman" w:hAnsi="Times New Roman" w:cs="Times New Roman"/>
          <w:lang w:val="en-US"/>
        </w:rPr>
        <w:t>indoxacarb</w:t>
      </w:r>
      <w:proofErr w:type="spellEnd"/>
      <w:r>
        <w:rPr>
          <w:rFonts w:ascii="Times New Roman" w:hAnsi="Times New Roman" w:cs="Times New Roman"/>
          <w:lang w:val="en-US"/>
        </w:rPr>
        <w:t xml:space="preserve"> in the field based on the laboratory trials. </w:t>
      </w:r>
    </w:p>
    <w:p w:rsidR="00EF1259" w:rsidRPr="001C6161" w:rsidRDefault="00EF1259" w:rsidP="001F1F59">
      <w:pPr>
        <w:jc w:val="both"/>
        <w:rPr>
          <w:rFonts w:ascii="Times New Roman" w:hAnsi="Times New Roman" w:cs="Times New Roman"/>
          <w:lang w:val="en-US"/>
        </w:rPr>
      </w:pPr>
    </w:p>
    <w:p w:rsidR="00736B79" w:rsidRPr="00EF1259" w:rsidRDefault="001C6161" w:rsidP="001F1F59">
      <w:pPr>
        <w:pStyle w:val="Heading2"/>
        <w:jc w:val="both"/>
        <w:rPr>
          <w:rFonts w:ascii="Times New Roman" w:hAnsi="Times New Roman" w:cs="Times New Roman"/>
          <w:b/>
          <w:i/>
          <w:color w:val="auto"/>
          <w:lang w:val="en-US"/>
        </w:rPr>
      </w:pPr>
      <w:proofErr w:type="spellStart"/>
      <w:r w:rsidRPr="00EF1259">
        <w:rPr>
          <w:rFonts w:ascii="Times New Roman" w:hAnsi="Times New Roman" w:cs="Times New Roman"/>
          <w:b/>
          <w:i/>
          <w:color w:val="auto"/>
          <w:lang w:val="en-US"/>
        </w:rPr>
        <w:t>Ceutorhynchus</w:t>
      </w:r>
      <w:proofErr w:type="spellEnd"/>
      <w:r w:rsidRPr="00EF1259">
        <w:rPr>
          <w:rFonts w:ascii="Times New Roman" w:hAnsi="Times New Roman" w:cs="Times New Roman"/>
          <w:b/>
          <w:i/>
          <w:color w:val="auto"/>
          <w:lang w:val="en-US"/>
        </w:rPr>
        <w:t xml:space="preserve"> </w:t>
      </w:r>
      <w:proofErr w:type="spellStart"/>
      <w:r w:rsidRPr="00EF1259">
        <w:rPr>
          <w:rFonts w:ascii="Times New Roman" w:hAnsi="Times New Roman" w:cs="Times New Roman"/>
          <w:b/>
          <w:i/>
          <w:color w:val="auto"/>
          <w:lang w:val="en-US"/>
        </w:rPr>
        <w:t>obstrictus</w:t>
      </w:r>
      <w:proofErr w:type="spellEnd"/>
    </w:p>
    <w:p w:rsidR="001C6161" w:rsidRDefault="001C6161" w:rsidP="001F1F59">
      <w:pPr>
        <w:jc w:val="both"/>
        <w:rPr>
          <w:rFonts w:ascii="Times New Roman" w:hAnsi="Times New Roman" w:cs="Times New Roman"/>
          <w:lang w:val="en-US"/>
        </w:rPr>
      </w:pPr>
      <w:r w:rsidRPr="00EF1259">
        <w:rPr>
          <w:rFonts w:ascii="Times New Roman" w:hAnsi="Times New Roman" w:cs="Times New Roman"/>
          <w:i/>
          <w:lang w:val="en-US"/>
        </w:rPr>
        <w:t xml:space="preserve">C. </w:t>
      </w:r>
      <w:proofErr w:type="spellStart"/>
      <w:r w:rsidRPr="00EF1259">
        <w:rPr>
          <w:rFonts w:ascii="Times New Roman" w:hAnsi="Times New Roman" w:cs="Times New Roman"/>
          <w:i/>
          <w:lang w:val="en-US"/>
        </w:rPr>
        <w:t>obstrictus</w:t>
      </w:r>
      <w:proofErr w:type="spellEnd"/>
      <w:r w:rsidRPr="001C6161">
        <w:rPr>
          <w:rFonts w:ascii="Times New Roman" w:hAnsi="Times New Roman" w:cs="Times New Roman"/>
          <w:lang w:val="en-US"/>
        </w:rPr>
        <w:t xml:space="preserve"> is native to Europe, where it is a major pest of </w:t>
      </w:r>
      <w:r>
        <w:rPr>
          <w:rFonts w:ascii="Times New Roman" w:hAnsi="Times New Roman" w:cs="Times New Roman"/>
          <w:lang w:val="en-US"/>
        </w:rPr>
        <w:t>oilseed rape</w:t>
      </w:r>
      <w:r w:rsidRPr="001C6161">
        <w:rPr>
          <w:rFonts w:ascii="Times New Roman" w:hAnsi="Times New Roman" w:cs="Times New Roman"/>
          <w:lang w:val="en-US"/>
        </w:rPr>
        <w:t>.</w:t>
      </w:r>
      <w:r w:rsidR="00EF1259">
        <w:rPr>
          <w:rFonts w:ascii="Times New Roman" w:hAnsi="Times New Roman" w:cs="Times New Roman"/>
          <w:lang w:val="en-US"/>
        </w:rPr>
        <w:t xml:space="preserve"> Like the pollen beetle, they emerge in early spring.</w:t>
      </w:r>
      <w:r w:rsidRPr="001C6161">
        <w:rPr>
          <w:rFonts w:ascii="Times New Roman" w:hAnsi="Times New Roman" w:cs="Times New Roman"/>
          <w:lang w:val="en-US"/>
        </w:rPr>
        <w:t xml:space="preserve"> </w:t>
      </w:r>
      <w:r w:rsidR="00EF1259">
        <w:rPr>
          <w:rFonts w:ascii="Times New Roman" w:hAnsi="Times New Roman" w:cs="Times New Roman"/>
          <w:lang w:val="en-US"/>
        </w:rPr>
        <w:t>Females lay their egg(s) in pods of oil seed rape and larva fed of the pods, possibly causing great harm. Despite that the main damage is caused by feeding larva, newly emerged adults can also cause damage to the pods by feeding before hibernation.</w:t>
      </w:r>
    </w:p>
    <w:p w:rsidR="00EF1259" w:rsidRDefault="00EF1259" w:rsidP="001F1F59">
      <w:pPr>
        <w:jc w:val="both"/>
        <w:rPr>
          <w:rFonts w:ascii="Times New Roman" w:hAnsi="Times New Roman" w:cs="Times New Roman"/>
          <w:lang w:val="en-US"/>
        </w:rPr>
      </w:pPr>
    </w:p>
    <w:p w:rsidR="008973CE" w:rsidRPr="001C6161" w:rsidRDefault="008973CE" w:rsidP="001F1F59">
      <w:pPr>
        <w:pStyle w:val="Heading3"/>
        <w:jc w:val="both"/>
        <w:rPr>
          <w:rFonts w:ascii="Times New Roman" w:hAnsi="Times New Roman" w:cs="Times New Roman"/>
          <w:b/>
          <w:color w:val="auto"/>
          <w:lang w:val="en-US"/>
        </w:rPr>
      </w:pPr>
      <w:r>
        <w:rPr>
          <w:rFonts w:ascii="Times New Roman" w:hAnsi="Times New Roman" w:cs="Times New Roman"/>
          <w:b/>
          <w:color w:val="auto"/>
          <w:lang w:val="en-US"/>
        </w:rPr>
        <w:t>Method 03</w:t>
      </w:r>
      <w:r w:rsidRPr="001C6161">
        <w:rPr>
          <w:rFonts w:ascii="Times New Roman" w:hAnsi="Times New Roman" w:cs="Times New Roman"/>
          <w:b/>
          <w:color w:val="auto"/>
          <w:lang w:val="en-US"/>
        </w:rPr>
        <w:t>1 (</w:t>
      </w:r>
      <w:r w:rsidR="00003CE0">
        <w:rPr>
          <w:rFonts w:ascii="Times New Roman" w:hAnsi="Times New Roman" w:cs="Times New Roman"/>
          <w:b/>
          <w:color w:val="auto"/>
          <w:lang w:val="en-US"/>
        </w:rPr>
        <w:t xml:space="preserve">synthetic </w:t>
      </w:r>
      <w:proofErr w:type="spellStart"/>
      <w:r w:rsidR="00003CE0">
        <w:rPr>
          <w:rFonts w:ascii="Times New Roman" w:hAnsi="Times New Roman" w:cs="Times New Roman"/>
          <w:b/>
          <w:color w:val="auto"/>
          <w:lang w:val="en-US"/>
        </w:rPr>
        <w:t>pyrethroids</w:t>
      </w:r>
      <w:proofErr w:type="spellEnd"/>
      <w:r w:rsidRPr="001C6161">
        <w:rPr>
          <w:rFonts w:ascii="Times New Roman" w:hAnsi="Times New Roman" w:cs="Times New Roman"/>
          <w:b/>
          <w:color w:val="auto"/>
          <w:lang w:val="en-US"/>
        </w:rPr>
        <w:t>)</w:t>
      </w:r>
    </w:p>
    <w:p w:rsidR="008973CE" w:rsidRDefault="008973CE" w:rsidP="00003CE0">
      <w:pPr>
        <w:jc w:val="both"/>
        <w:rPr>
          <w:rFonts w:ascii="Times New Roman" w:hAnsi="Times New Roman" w:cs="Times New Roman"/>
          <w:lang w:val="en-US"/>
        </w:rPr>
      </w:pPr>
      <w:r>
        <w:rPr>
          <w:rFonts w:ascii="Times New Roman" w:hAnsi="Times New Roman" w:cs="Times New Roman"/>
          <w:lang w:val="en-US"/>
        </w:rPr>
        <w:t>Method 03</w:t>
      </w:r>
      <w:r w:rsidRPr="001C6161">
        <w:rPr>
          <w:rFonts w:ascii="Times New Roman" w:hAnsi="Times New Roman" w:cs="Times New Roman"/>
          <w:lang w:val="en-US"/>
        </w:rPr>
        <w:t>1</w:t>
      </w:r>
      <w:r>
        <w:rPr>
          <w:rFonts w:ascii="Times New Roman" w:hAnsi="Times New Roman" w:cs="Times New Roman"/>
          <w:lang w:val="en-US"/>
        </w:rPr>
        <w:t xml:space="preserve"> has been developed to assess </w:t>
      </w:r>
      <w:r w:rsidRPr="001C6161">
        <w:rPr>
          <w:rFonts w:ascii="Times New Roman" w:hAnsi="Times New Roman" w:cs="Times New Roman"/>
          <w:lang w:val="en-US"/>
        </w:rPr>
        <w:t xml:space="preserve">the effect of </w:t>
      </w:r>
      <w:r w:rsidR="00003CE0">
        <w:rPr>
          <w:rFonts w:ascii="Times New Roman" w:hAnsi="Times New Roman" w:cs="Times New Roman"/>
          <w:lang w:val="en-US"/>
        </w:rPr>
        <w:t xml:space="preserve">synthetic </w:t>
      </w:r>
      <w:proofErr w:type="spellStart"/>
      <w:r w:rsidRPr="001C6161">
        <w:rPr>
          <w:rFonts w:ascii="Times New Roman" w:hAnsi="Times New Roman" w:cs="Times New Roman"/>
          <w:lang w:val="en-US"/>
        </w:rPr>
        <w:t>pyrethroid</w:t>
      </w:r>
      <w:r w:rsidR="00003CE0">
        <w:rPr>
          <w:rFonts w:ascii="Times New Roman" w:hAnsi="Times New Roman" w:cs="Times New Roman"/>
          <w:lang w:val="en-US"/>
        </w:rPr>
        <w:t>s</w:t>
      </w:r>
      <w:proofErr w:type="spellEnd"/>
      <w:r w:rsidR="00003CE0">
        <w:rPr>
          <w:rFonts w:ascii="Times New Roman" w:hAnsi="Times New Roman" w:cs="Times New Roman"/>
          <w:lang w:val="en-US"/>
        </w:rPr>
        <w:t xml:space="preserve"> </w:t>
      </w:r>
      <w:r w:rsidR="00303A53">
        <w:rPr>
          <w:rFonts w:ascii="Times New Roman" w:hAnsi="Times New Roman" w:cs="Times New Roman"/>
          <w:lang w:val="en-US"/>
        </w:rPr>
        <w:t xml:space="preserve">(such as </w:t>
      </w:r>
      <w:r w:rsidR="00303A53" w:rsidRPr="001C6161">
        <w:rPr>
          <w:rFonts w:ascii="Times New Roman" w:hAnsi="Times New Roman" w:cs="Times New Roman"/>
          <w:lang w:val="en-US"/>
        </w:rPr>
        <w:t xml:space="preserve">λ-cyhalothrin </w:t>
      </w:r>
      <w:r w:rsidR="00303A53">
        <w:rPr>
          <w:rFonts w:ascii="Times New Roman" w:hAnsi="Times New Roman" w:cs="Times New Roman"/>
          <w:lang w:val="en-US"/>
        </w:rPr>
        <w:t>(Karate®) and</w:t>
      </w:r>
      <w:r w:rsidR="00303A53" w:rsidRPr="00303A53">
        <w:rPr>
          <w:lang w:val="en-US"/>
        </w:rPr>
        <w:t xml:space="preserve"> </w:t>
      </w:r>
      <w:r w:rsidR="00303A53" w:rsidRPr="00303A53">
        <w:rPr>
          <w:rFonts w:ascii="Times New Roman" w:hAnsi="Times New Roman" w:cs="Times New Roman"/>
          <w:lang w:val="en-US"/>
        </w:rPr>
        <w:t>τ-</w:t>
      </w:r>
      <w:proofErr w:type="spellStart"/>
      <w:r w:rsidR="00303A53" w:rsidRPr="00303A53">
        <w:rPr>
          <w:rFonts w:ascii="Times New Roman" w:hAnsi="Times New Roman" w:cs="Times New Roman"/>
          <w:lang w:val="en-US"/>
        </w:rPr>
        <w:t>fluvalinate</w:t>
      </w:r>
      <w:proofErr w:type="spellEnd"/>
      <w:r w:rsidR="00303A53">
        <w:rPr>
          <w:rFonts w:ascii="Times New Roman" w:hAnsi="Times New Roman" w:cs="Times New Roman"/>
          <w:lang w:val="en-US"/>
        </w:rPr>
        <w:t xml:space="preserve"> (</w:t>
      </w:r>
      <w:proofErr w:type="spellStart"/>
      <w:r w:rsidR="00303A53">
        <w:rPr>
          <w:rFonts w:ascii="Times New Roman" w:hAnsi="Times New Roman" w:cs="Times New Roman"/>
          <w:lang w:val="en-US"/>
        </w:rPr>
        <w:t>Mavrik</w:t>
      </w:r>
      <w:proofErr w:type="spellEnd"/>
      <w:r w:rsidR="00303A53">
        <w:rPr>
          <w:rFonts w:ascii="Times New Roman" w:hAnsi="Times New Roman" w:cs="Times New Roman"/>
          <w:lang w:val="en-US"/>
        </w:rPr>
        <w:t xml:space="preserve">®)) </w:t>
      </w:r>
      <w:r w:rsidRPr="001C6161">
        <w:rPr>
          <w:rFonts w:ascii="Times New Roman" w:hAnsi="Times New Roman" w:cs="Times New Roman"/>
          <w:lang w:val="en-US"/>
        </w:rPr>
        <w:t xml:space="preserve">on </w:t>
      </w:r>
      <w:r>
        <w:rPr>
          <w:rFonts w:ascii="Times New Roman" w:hAnsi="Times New Roman" w:cs="Times New Roman"/>
          <w:lang w:val="en-US"/>
        </w:rPr>
        <w:t xml:space="preserve">flea </w:t>
      </w:r>
      <w:r w:rsidRPr="001C6161">
        <w:rPr>
          <w:rFonts w:ascii="Times New Roman" w:hAnsi="Times New Roman" w:cs="Times New Roman"/>
          <w:lang w:val="en-US"/>
        </w:rPr>
        <w:t xml:space="preserve">beetles </w:t>
      </w:r>
      <w:r>
        <w:rPr>
          <w:rFonts w:ascii="Times New Roman" w:hAnsi="Times New Roman" w:cs="Times New Roman"/>
          <w:lang w:val="en-US"/>
        </w:rPr>
        <w:t xml:space="preserve">and weevils </w:t>
      </w:r>
      <w:r w:rsidRPr="001C6161">
        <w:rPr>
          <w:rFonts w:ascii="Times New Roman" w:hAnsi="Times New Roman" w:cs="Times New Roman"/>
          <w:lang w:val="en-US"/>
        </w:rPr>
        <w:t>in a laboratory setting</w:t>
      </w:r>
      <w:r>
        <w:rPr>
          <w:rFonts w:ascii="Times New Roman" w:hAnsi="Times New Roman" w:cs="Times New Roman"/>
          <w:lang w:val="en-US"/>
        </w:rPr>
        <w:t xml:space="preserve">. Target species include </w:t>
      </w:r>
      <w:proofErr w:type="spellStart"/>
      <w:r w:rsidRPr="00003CE0">
        <w:rPr>
          <w:rFonts w:ascii="Times New Roman" w:hAnsi="Times New Roman" w:cs="Times New Roman"/>
          <w:i/>
          <w:lang w:val="en-US"/>
        </w:rPr>
        <w:t>Ceutorhynchus</w:t>
      </w:r>
      <w:proofErr w:type="spellEnd"/>
      <w:r>
        <w:rPr>
          <w:rFonts w:ascii="Times New Roman" w:hAnsi="Times New Roman" w:cs="Times New Roman"/>
          <w:lang w:val="en-US"/>
        </w:rPr>
        <w:t xml:space="preserve"> spp., </w:t>
      </w:r>
      <w:proofErr w:type="spellStart"/>
      <w:r w:rsidRPr="00003CE0">
        <w:rPr>
          <w:rFonts w:ascii="Times New Roman" w:hAnsi="Times New Roman" w:cs="Times New Roman"/>
          <w:i/>
          <w:lang w:val="en-US"/>
        </w:rPr>
        <w:t>Phyllotreta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spp</w:t>
      </w:r>
      <w:proofErr w:type="spellEnd"/>
      <w:r>
        <w:rPr>
          <w:rFonts w:ascii="Times New Roman" w:hAnsi="Times New Roman" w:cs="Times New Roman"/>
          <w:lang w:val="en-US"/>
        </w:rPr>
        <w:t xml:space="preserve"> and </w:t>
      </w:r>
      <w:r w:rsidRPr="00003CE0">
        <w:rPr>
          <w:rFonts w:ascii="Times New Roman" w:hAnsi="Times New Roman" w:cs="Times New Roman"/>
          <w:i/>
          <w:lang w:val="en-US"/>
        </w:rPr>
        <w:t xml:space="preserve">P. </w:t>
      </w:r>
      <w:proofErr w:type="spellStart"/>
      <w:r w:rsidRPr="00003CE0">
        <w:rPr>
          <w:rFonts w:ascii="Times New Roman" w:hAnsi="Times New Roman" w:cs="Times New Roman"/>
          <w:i/>
          <w:lang w:val="en-US"/>
        </w:rPr>
        <w:t>chrysocephala</w:t>
      </w:r>
      <w:proofErr w:type="spellEnd"/>
      <w:r>
        <w:rPr>
          <w:rFonts w:ascii="Times New Roman" w:hAnsi="Times New Roman" w:cs="Times New Roman"/>
          <w:lang w:val="en-US"/>
        </w:rPr>
        <w:t xml:space="preserve">. The method </w:t>
      </w:r>
      <w:r w:rsidRPr="001C6161">
        <w:rPr>
          <w:rFonts w:ascii="Times New Roman" w:hAnsi="Times New Roman" w:cs="Times New Roman"/>
          <w:lang w:val="en-US"/>
        </w:rPr>
        <w:t xml:space="preserve">is widely used for monitoring of λ-cyhalothrin </w:t>
      </w:r>
      <w:r w:rsidR="001F4989">
        <w:rPr>
          <w:rFonts w:ascii="Times New Roman" w:hAnsi="Times New Roman" w:cs="Times New Roman"/>
          <w:lang w:val="en-US"/>
        </w:rPr>
        <w:t xml:space="preserve">and </w:t>
      </w:r>
      <w:r w:rsidR="001F4989" w:rsidRPr="00303A53">
        <w:rPr>
          <w:rFonts w:ascii="Times New Roman" w:hAnsi="Times New Roman" w:cs="Times New Roman"/>
          <w:lang w:val="en-US"/>
        </w:rPr>
        <w:t>τ-</w:t>
      </w:r>
      <w:proofErr w:type="spellStart"/>
      <w:r w:rsidR="001F4989" w:rsidRPr="00303A53">
        <w:rPr>
          <w:rFonts w:ascii="Times New Roman" w:hAnsi="Times New Roman" w:cs="Times New Roman"/>
          <w:lang w:val="en-US"/>
        </w:rPr>
        <w:t>fluvalinate</w:t>
      </w:r>
      <w:proofErr w:type="spellEnd"/>
      <w:r w:rsidR="001F4989">
        <w:rPr>
          <w:rFonts w:ascii="Times New Roman" w:hAnsi="Times New Roman" w:cs="Times New Roman"/>
          <w:lang w:val="en-US"/>
        </w:rPr>
        <w:t xml:space="preserve"> </w:t>
      </w:r>
      <w:r w:rsidRPr="001C6161">
        <w:rPr>
          <w:rFonts w:ascii="Times New Roman" w:hAnsi="Times New Roman" w:cs="Times New Roman"/>
          <w:lang w:val="en-US"/>
        </w:rPr>
        <w:t>sensitivity throughout Europe. Beetles</w:t>
      </w:r>
      <w:r>
        <w:rPr>
          <w:rFonts w:ascii="Times New Roman" w:hAnsi="Times New Roman" w:cs="Times New Roman"/>
          <w:lang w:val="en-US"/>
        </w:rPr>
        <w:t>/weevils</w:t>
      </w:r>
      <w:r w:rsidRPr="001C6161">
        <w:rPr>
          <w:rFonts w:ascii="Times New Roman" w:hAnsi="Times New Roman" w:cs="Times New Roman"/>
          <w:lang w:val="en-US"/>
        </w:rPr>
        <w:t xml:space="preserve"> are placed in glass vials coated with </w:t>
      </w:r>
      <w:r w:rsidR="001F4989">
        <w:rPr>
          <w:rFonts w:ascii="Times New Roman" w:hAnsi="Times New Roman" w:cs="Times New Roman"/>
          <w:lang w:val="en-US"/>
        </w:rPr>
        <w:t>pyrethroid</w:t>
      </w:r>
      <w:r w:rsidRPr="001C6161">
        <w:rPr>
          <w:rFonts w:ascii="Times New Roman" w:hAnsi="Times New Roman" w:cs="Times New Roman"/>
          <w:lang w:val="en-US"/>
        </w:rPr>
        <w:t xml:space="preserve"> for 24 hours, after which number of affected and alive beetles</w:t>
      </w:r>
      <w:r>
        <w:rPr>
          <w:rFonts w:ascii="Times New Roman" w:hAnsi="Times New Roman" w:cs="Times New Roman"/>
          <w:lang w:val="en-US"/>
        </w:rPr>
        <w:t>/weevils</w:t>
      </w:r>
      <w:r w:rsidRPr="001C6161">
        <w:rPr>
          <w:rFonts w:ascii="Times New Roman" w:hAnsi="Times New Roman" w:cs="Times New Roman"/>
          <w:lang w:val="en-US"/>
        </w:rPr>
        <w:t xml:space="preserve"> are noted and % of affected beetles</w:t>
      </w:r>
      <w:r>
        <w:rPr>
          <w:rFonts w:ascii="Times New Roman" w:hAnsi="Times New Roman" w:cs="Times New Roman"/>
          <w:lang w:val="en-US"/>
        </w:rPr>
        <w:t>/weevils</w:t>
      </w:r>
      <w:r w:rsidRPr="001C6161">
        <w:rPr>
          <w:rFonts w:ascii="Times New Roman" w:hAnsi="Times New Roman" w:cs="Times New Roman"/>
          <w:lang w:val="en-US"/>
        </w:rPr>
        <w:t xml:space="preserve"> is calculated. Glass vials coated with acetone functions as control treatment. During the experiment, </w:t>
      </w:r>
      <w:r>
        <w:rPr>
          <w:rFonts w:ascii="Times New Roman" w:hAnsi="Times New Roman" w:cs="Times New Roman"/>
          <w:lang w:val="en-US"/>
        </w:rPr>
        <w:t>insects</w:t>
      </w:r>
      <w:r w:rsidRPr="001C6161">
        <w:rPr>
          <w:rFonts w:ascii="Times New Roman" w:hAnsi="Times New Roman" w:cs="Times New Roman"/>
          <w:lang w:val="en-US"/>
        </w:rPr>
        <w:t xml:space="preserve"> should be exposed to light to ensure movement. Beetle</w:t>
      </w:r>
      <w:r>
        <w:rPr>
          <w:rFonts w:ascii="Times New Roman" w:hAnsi="Times New Roman" w:cs="Times New Roman"/>
          <w:lang w:val="en-US"/>
        </w:rPr>
        <w:t>/weevil</w:t>
      </w:r>
      <w:r w:rsidRPr="001C6161">
        <w:rPr>
          <w:rFonts w:ascii="Times New Roman" w:hAnsi="Times New Roman" w:cs="Times New Roman"/>
          <w:lang w:val="en-US"/>
        </w:rPr>
        <w:t xml:space="preserve"> populations are classified into </w:t>
      </w:r>
      <w:r>
        <w:rPr>
          <w:rFonts w:ascii="Times New Roman" w:hAnsi="Times New Roman" w:cs="Times New Roman"/>
          <w:lang w:val="en-US"/>
        </w:rPr>
        <w:t>3</w:t>
      </w:r>
      <w:r w:rsidRPr="001C6161">
        <w:rPr>
          <w:rFonts w:ascii="Times New Roman" w:hAnsi="Times New Roman" w:cs="Times New Roman"/>
          <w:lang w:val="en-US"/>
        </w:rPr>
        <w:t xml:space="preserve"> susceptibility levels</w:t>
      </w:r>
      <w:r>
        <w:rPr>
          <w:rFonts w:ascii="Times New Roman" w:hAnsi="Times New Roman" w:cs="Times New Roman"/>
          <w:lang w:val="en-US"/>
        </w:rPr>
        <w:t>; susceptible, decreased susceptibility and resistance suspected</w:t>
      </w:r>
      <w:r w:rsidRPr="001C6161">
        <w:rPr>
          <w:rFonts w:ascii="Times New Roman" w:hAnsi="Times New Roman" w:cs="Times New Roman"/>
          <w:lang w:val="en-US"/>
        </w:rPr>
        <w:t>. This classification will also be used in this report. Classification of susceptibility levels depends on the effect of 15 ng/cm</w:t>
      </w:r>
      <w:r w:rsidRPr="001C6161">
        <w:rPr>
          <w:rFonts w:ascii="Times New Roman" w:hAnsi="Times New Roman" w:cs="Times New Roman"/>
          <w:vertAlign w:val="superscript"/>
          <w:lang w:val="en-US"/>
        </w:rPr>
        <w:t>3</w:t>
      </w:r>
      <w:r w:rsidRPr="001C6161">
        <w:rPr>
          <w:rFonts w:ascii="Times New Roman" w:hAnsi="Times New Roman" w:cs="Times New Roman"/>
          <w:lang w:val="en-US"/>
        </w:rPr>
        <w:t xml:space="preserve"> </w:t>
      </w:r>
      <w:r w:rsidR="001F4989" w:rsidRPr="001C6161">
        <w:rPr>
          <w:rFonts w:ascii="Times New Roman" w:hAnsi="Times New Roman" w:cs="Times New Roman"/>
          <w:lang w:val="en-US"/>
        </w:rPr>
        <w:t xml:space="preserve">λ-cyhalothrin </w:t>
      </w:r>
      <w:r w:rsidR="001F4989">
        <w:rPr>
          <w:rFonts w:ascii="Times New Roman" w:hAnsi="Times New Roman" w:cs="Times New Roman"/>
          <w:lang w:val="en-US"/>
        </w:rPr>
        <w:t>and 96 ng/cm</w:t>
      </w:r>
      <w:r w:rsidR="001F4989" w:rsidRPr="001F4989">
        <w:rPr>
          <w:rFonts w:ascii="Times New Roman" w:hAnsi="Times New Roman" w:cs="Times New Roman"/>
          <w:vertAlign w:val="superscript"/>
          <w:lang w:val="en-US"/>
        </w:rPr>
        <w:t>3</w:t>
      </w:r>
      <w:r w:rsidR="001F4989">
        <w:rPr>
          <w:rFonts w:ascii="Times New Roman" w:hAnsi="Times New Roman" w:cs="Times New Roman"/>
          <w:lang w:val="en-US"/>
        </w:rPr>
        <w:t xml:space="preserve"> </w:t>
      </w:r>
      <w:r w:rsidR="001F4989" w:rsidRPr="00303A53">
        <w:rPr>
          <w:rFonts w:ascii="Times New Roman" w:hAnsi="Times New Roman" w:cs="Times New Roman"/>
          <w:lang w:val="en-US"/>
        </w:rPr>
        <w:t>τ-</w:t>
      </w:r>
      <w:proofErr w:type="spellStart"/>
      <w:r w:rsidR="001F4989" w:rsidRPr="00303A53">
        <w:rPr>
          <w:rFonts w:ascii="Times New Roman" w:hAnsi="Times New Roman" w:cs="Times New Roman"/>
          <w:lang w:val="en-US"/>
        </w:rPr>
        <w:t>fluvalinate</w:t>
      </w:r>
      <w:proofErr w:type="spellEnd"/>
      <w:r w:rsidR="001F4989">
        <w:rPr>
          <w:rFonts w:ascii="Times New Roman" w:hAnsi="Times New Roman" w:cs="Times New Roman"/>
          <w:lang w:val="en-US"/>
        </w:rPr>
        <w:t xml:space="preserve"> </w:t>
      </w:r>
      <w:r w:rsidRPr="001C6161">
        <w:rPr>
          <w:rFonts w:ascii="Times New Roman" w:hAnsi="Times New Roman" w:cs="Times New Roman"/>
          <w:lang w:val="en-US"/>
        </w:rPr>
        <w:t>(20%</w:t>
      </w:r>
      <w:r w:rsidR="009828E8">
        <w:rPr>
          <w:rFonts w:ascii="Times New Roman" w:hAnsi="Times New Roman" w:cs="Times New Roman"/>
          <w:lang w:val="en-US"/>
        </w:rPr>
        <w:t xml:space="preserve"> </w:t>
      </w:r>
      <w:r w:rsidRPr="001C6161">
        <w:rPr>
          <w:rFonts w:ascii="Times New Roman" w:hAnsi="Times New Roman" w:cs="Times New Roman"/>
          <w:lang w:val="en-US"/>
        </w:rPr>
        <w:t xml:space="preserve">field rate) on </w:t>
      </w:r>
      <w:r>
        <w:rPr>
          <w:rFonts w:ascii="Times New Roman" w:hAnsi="Times New Roman" w:cs="Times New Roman"/>
          <w:lang w:val="en-US"/>
        </w:rPr>
        <w:t>beetle/weevil</w:t>
      </w:r>
      <w:r w:rsidRPr="001C6161">
        <w:rPr>
          <w:rFonts w:ascii="Times New Roman" w:hAnsi="Times New Roman" w:cs="Times New Roman"/>
          <w:lang w:val="en-US"/>
        </w:rPr>
        <w:t xml:space="preserve"> samples.</w:t>
      </w:r>
      <w:r w:rsidR="009828E8">
        <w:rPr>
          <w:rFonts w:ascii="Times New Roman" w:hAnsi="Times New Roman" w:cs="Times New Roman"/>
          <w:lang w:val="en-US"/>
        </w:rPr>
        <w:t xml:space="preserve"> Resistance is also suspected if a population sample show less than full effect at </w:t>
      </w:r>
      <w:r w:rsidR="001E5C66">
        <w:rPr>
          <w:rFonts w:ascii="Times New Roman" w:hAnsi="Times New Roman" w:cs="Times New Roman"/>
          <w:lang w:val="en-US"/>
        </w:rPr>
        <w:t>5</w:t>
      </w:r>
      <w:r w:rsidR="009828E8">
        <w:rPr>
          <w:rFonts w:ascii="Times New Roman" w:hAnsi="Times New Roman" w:cs="Times New Roman"/>
          <w:lang w:val="en-US"/>
        </w:rPr>
        <w:t xml:space="preserve">0% </w:t>
      </w:r>
      <w:r w:rsidR="009828E8" w:rsidRPr="001C6161">
        <w:rPr>
          <w:rFonts w:ascii="Times New Roman" w:hAnsi="Times New Roman" w:cs="Times New Roman"/>
          <w:lang w:val="en-US"/>
        </w:rPr>
        <w:t>field rate</w:t>
      </w:r>
      <w:r w:rsidR="009828E8">
        <w:rPr>
          <w:rFonts w:ascii="Times New Roman" w:hAnsi="Times New Roman" w:cs="Times New Roman"/>
          <w:lang w:val="en-US"/>
        </w:rPr>
        <w:t>.</w:t>
      </w:r>
    </w:p>
    <w:tbl>
      <w:tblPr>
        <w:tblStyle w:val="TableGrid"/>
        <w:tblW w:w="0" w:type="auto"/>
        <w:tblLayout w:type="fixed"/>
        <w:tblLook w:val="04A0" w:firstRow="1" w:lastRow="0" w:firstColumn="1" w:lastColumn="0" w:noHBand="0" w:noVBand="1"/>
      </w:tblPr>
      <w:tblGrid>
        <w:gridCol w:w="1435"/>
        <w:gridCol w:w="1429"/>
        <w:gridCol w:w="1133"/>
        <w:gridCol w:w="2407"/>
      </w:tblGrid>
      <w:tr w:rsidR="001F4989" w:rsidRPr="001C6161" w:rsidTr="00C41C09">
        <w:tc>
          <w:tcPr>
            <w:tcW w:w="2864" w:type="dxa"/>
            <w:gridSpan w:val="2"/>
            <w:vAlign w:val="center"/>
          </w:tcPr>
          <w:p w:rsidR="001F4989" w:rsidRPr="001C6161" w:rsidRDefault="001F4989" w:rsidP="008C679F">
            <w:pPr>
              <w:jc w:val="center"/>
              <w:rPr>
                <w:rFonts w:ascii="Times New Roman" w:hAnsi="Times New Roman" w:cs="Times New Roman"/>
                <w:b/>
                <w:lang w:val="en-US"/>
              </w:rPr>
            </w:pPr>
            <w:r w:rsidRPr="001C6161">
              <w:rPr>
                <w:rFonts w:ascii="Times New Roman" w:hAnsi="Times New Roman" w:cs="Times New Roman"/>
                <w:b/>
                <w:lang w:val="en-US"/>
              </w:rPr>
              <w:t>Dose rate (ng/cm</w:t>
            </w:r>
            <w:r w:rsidRPr="001C6161">
              <w:rPr>
                <w:rFonts w:ascii="Times New Roman" w:hAnsi="Times New Roman" w:cs="Times New Roman"/>
                <w:b/>
                <w:vertAlign w:val="superscript"/>
                <w:lang w:val="en-US"/>
              </w:rPr>
              <w:t>3</w:t>
            </w:r>
            <w:r w:rsidRPr="001C6161">
              <w:rPr>
                <w:rFonts w:ascii="Times New Roman" w:hAnsi="Times New Roman" w:cs="Times New Roman"/>
                <w:b/>
                <w:lang w:val="en-US"/>
              </w:rPr>
              <w:t>)</w:t>
            </w:r>
          </w:p>
        </w:tc>
        <w:tc>
          <w:tcPr>
            <w:tcW w:w="1133" w:type="dxa"/>
            <w:vMerge w:val="restart"/>
            <w:vAlign w:val="center"/>
          </w:tcPr>
          <w:p w:rsidR="001F4989" w:rsidRPr="001C6161" w:rsidRDefault="001F4989" w:rsidP="008C679F">
            <w:pPr>
              <w:jc w:val="center"/>
              <w:rPr>
                <w:rFonts w:ascii="Times New Roman" w:hAnsi="Times New Roman" w:cs="Times New Roman"/>
                <w:b/>
                <w:lang w:val="en-US"/>
              </w:rPr>
            </w:pPr>
            <w:r w:rsidRPr="001C6161">
              <w:rPr>
                <w:rFonts w:ascii="Times New Roman" w:hAnsi="Times New Roman" w:cs="Times New Roman"/>
                <w:b/>
                <w:lang w:val="en-US"/>
              </w:rPr>
              <w:t>Affected</w:t>
            </w:r>
          </w:p>
        </w:tc>
        <w:tc>
          <w:tcPr>
            <w:tcW w:w="2407" w:type="dxa"/>
            <w:vMerge w:val="restart"/>
            <w:vAlign w:val="center"/>
          </w:tcPr>
          <w:p w:rsidR="001F4989" w:rsidRPr="001C6161" w:rsidRDefault="001F4989" w:rsidP="008C679F">
            <w:pPr>
              <w:jc w:val="center"/>
              <w:rPr>
                <w:rFonts w:ascii="Times New Roman" w:hAnsi="Times New Roman" w:cs="Times New Roman"/>
                <w:b/>
                <w:lang w:val="en-US"/>
              </w:rPr>
            </w:pPr>
            <w:r w:rsidRPr="001C6161">
              <w:rPr>
                <w:rFonts w:ascii="Times New Roman" w:hAnsi="Times New Roman" w:cs="Times New Roman"/>
                <w:b/>
                <w:lang w:val="en-US"/>
              </w:rPr>
              <w:t>Classification</w:t>
            </w:r>
          </w:p>
        </w:tc>
      </w:tr>
      <w:tr w:rsidR="001F4989" w:rsidRPr="001C6161" w:rsidTr="00C41C09">
        <w:tc>
          <w:tcPr>
            <w:tcW w:w="1435" w:type="dxa"/>
            <w:vAlign w:val="center"/>
          </w:tcPr>
          <w:p w:rsidR="001F4989" w:rsidRPr="001C6161" w:rsidRDefault="001F4989" w:rsidP="008C679F">
            <w:pPr>
              <w:jc w:val="center"/>
              <w:rPr>
                <w:rFonts w:ascii="Times New Roman" w:hAnsi="Times New Roman" w:cs="Times New Roman"/>
                <w:b/>
                <w:lang w:val="en-US"/>
              </w:rPr>
            </w:pPr>
            <w:r w:rsidRPr="001C6161">
              <w:rPr>
                <w:rFonts w:ascii="Times New Roman" w:hAnsi="Times New Roman" w:cs="Times New Roman"/>
                <w:lang w:val="en-US"/>
              </w:rPr>
              <w:t>λ-cyhalothrin</w:t>
            </w:r>
          </w:p>
        </w:tc>
        <w:tc>
          <w:tcPr>
            <w:tcW w:w="1429" w:type="dxa"/>
            <w:vAlign w:val="center"/>
          </w:tcPr>
          <w:p w:rsidR="001F4989" w:rsidRPr="001C6161" w:rsidRDefault="001F4989" w:rsidP="008C679F">
            <w:pPr>
              <w:jc w:val="center"/>
              <w:rPr>
                <w:rFonts w:ascii="Times New Roman" w:hAnsi="Times New Roman" w:cs="Times New Roman"/>
                <w:b/>
                <w:lang w:val="en-US"/>
              </w:rPr>
            </w:pPr>
            <w:r w:rsidRPr="00303A53">
              <w:rPr>
                <w:rFonts w:ascii="Times New Roman" w:hAnsi="Times New Roman" w:cs="Times New Roman"/>
                <w:lang w:val="en-US"/>
              </w:rPr>
              <w:t>τ-</w:t>
            </w:r>
            <w:proofErr w:type="spellStart"/>
            <w:r w:rsidRPr="00303A53">
              <w:rPr>
                <w:rFonts w:ascii="Times New Roman" w:hAnsi="Times New Roman" w:cs="Times New Roman"/>
                <w:lang w:val="en-US"/>
              </w:rPr>
              <w:t>fluvalinate</w:t>
            </w:r>
            <w:proofErr w:type="spellEnd"/>
          </w:p>
        </w:tc>
        <w:tc>
          <w:tcPr>
            <w:tcW w:w="1133" w:type="dxa"/>
            <w:vMerge/>
            <w:vAlign w:val="center"/>
          </w:tcPr>
          <w:p w:rsidR="001F4989" w:rsidRPr="001C6161" w:rsidRDefault="001F4989" w:rsidP="008C679F">
            <w:pPr>
              <w:jc w:val="center"/>
              <w:rPr>
                <w:rFonts w:ascii="Times New Roman" w:hAnsi="Times New Roman" w:cs="Times New Roman"/>
                <w:b/>
                <w:lang w:val="en-US"/>
              </w:rPr>
            </w:pPr>
          </w:p>
        </w:tc>
        <w:tc>
          <w:tcPr>
            <w:tcW w:w="2407" w:type="dxa"/>
            <w:vMerge/>
            <w:vAlign w:val="center"/>
          </w:tcPr>
          <w:p w:rsidR="001F4989" w:rsidRPr="001C6161" w:rsidRDefault="001F4989" w:rsidP="008C679F">
            <w:pPr>
              <w:jc w:val="center"/>
              <w:rPr>
                <w:rFonts w:ascii="Times New Roman" w:hAnsi="Times New Roman" w:cs="Times New Roman"/>
                <w:b/>
                <w:lang w:val="en-US"/>
              </w:rPr>
            </w:pPr>
          </w:p>
        </w:tc>
      </w:tr>
      <w:tr w:rsidR="001F4989" w:rsidRPr="001C6161" w:rsidTr="00C41C09">
        <w:tc>
          <w:tcPr>
            <w:tcW w:w="1435" w:type="dxa"/>
            <w:shd w:val="clear" w:color="auto" w:fill="00B050"/>
            <w:vAlign w:val="center"/>
          </w:tcPr>
          <w:p w:rsidR="001F4989" w:rsidRPr="001C6161" w:rsidRDefault="001F4989" w:rsidP="009828E8">
            <w:pPr>
              <w:jc w:val="center"/>
              <w:rPr>
                <w:rFonts w:ascii="Times New Roman" w:hAnsi="Times New Roman" w:cs="Times New Roman"/>
              </w:rPr>
            </w:pPr>
            <w:r>
              <w:rPr>
                <w:rFonts w:ascii="Times New Roman" w:hAnsi="Times New Roman" w:cs="Times New Roman"/>
                <w:lang w:val="en-US"/>
              </w:rPr>
              <w:t>1</w:t>
            </w:r>
            <w:r w:rsidRPr="001C6161">
              <w:rPr>
                <w:rFonts w:ascii="Times New Roman" w:hAnsi="Times New Roman" w:cs="Times New Roman"/>
                <w:lang w:val="en-US"/>
              </w:rPr>
              <w:t>5</w:t>
            </w:r>
          </w:p>
        </w:tc>
        <w:tc>
          <w:tcPr>
            <w:tcW w:w="1429" w:type="dxa"/>
            <w:shd w:val="clear" w:color="auto" w:fill="00B050"/>
            <w:vAlign w:val="center"/>
          </w:tcPr>
          <w:p w:rsidR="001F4989" w:rsidRPr="001C6161" w:rsidRDefault="00C41C09" w:rsidP="00C41C09">
            <w:pPr>
              <w:jc w:val="center"/>
              <w:rPr>
                <w:rFonts w:ascii="Times New Roman" w:hAnsi="Times New Roman" w:cs="Times New Roman"/>
                <w:lang w:val="en-US"/>
              </w:rPr>
            </w:pPr>
            <w:r>
              <w:rPr>
                <w:rFonts w:ascii="Times New Roman" w:hAnsi="Times New Roman" w:cs="Times New Roman"/>
                <w:lang w:val="en-US"/>
              </w:rPr>
              <w:t>96</w:t>
            </w:r>
          </w:p>
        </w:tc>
        <w:tc>
          <w:tcPr>
            <w:tcW w:w="1133" w:type="dxa"/>
            <w:shd w:val="clear" w:color="auto" w:fill="00B050"/>
            <w:vAlign w:val="center"/>
          </w:tcPr>
          <w:p w:rsidR="001F4989" w:rsidRPr="001C6161" w:rsidRDefault="001F4989" w:rsidP="0092492D">
            <w:pPr>
              <w:jc w:val="both"/>
              <w:rPr>
                <w:rFonts w:ascii="Times New Roman" w:hAnsi="Times New Roman" w:cs="Times New Roman"/>
                <w:lang w:val="en-US"/>
              </w:rPr>
            </w:pPr>
            <w:r w:rsidRPr="001C6161">
              <w:rPr>
                <w:rFonts w:ascii="Times New Roman" w:hAnsi="Times New Roman" w:cs="Times New Roman"/>
                <w:lang w:val="en-US"/>
              </w:rPr>
              <w:t>100%</w:t>
            </w:r>
          </w:p>
        </w:tc>
        <w:tc>
          <w:tcPr>
            <w:tcW w:w="2407" w:type="dxa"/>
            <w:shd w:val="clear" w:color="auto" w:fill="00B050"/>
            <w:vAlign w:val="center"/>
          </w:tcPr>
          <w:p w:rsidR="001F4989" w:rsidRPr="001C6161" w:rsidRDefault="001F4989" w:rsidP="0092492D">
            <w:pPr>
              <w:jc w:val="both"/>
              <w:rPr>
                <w:rFonts w:ascii="Times New Roman" w:hAnsi="Times New Roman" w:cs="Times New Roman"/>
                <w:lang w:val="en-US"/>
              </w:rPr>
            </w:pPr>
            <w:r>
              <w:rPr>
                <w:rFonts w:ascii="Times New Roman" w:hAnsi="Times New Roman" w:cs="Times New Roman"/>
                <w:lang w:val="en-US"/>
              </w:rPr>
              <w:t>Susceptible</w:t>
            </w:r>
          </w:p>
        </w:tc>
      </w:tr>
      <w:tr w:rsidR="001F4989" w:rsidRPr="001C6161" w:rsidTr="00C41C09">
        <w:tc>
          <w:tcPr>
            <w:tcW w:w="1435" w:type="dxa"/>
            <w:shd w:val="clear" w:color="auto" w:fill="FFFF00"/>
            <w:vAlign w:val="center"/>
          </w:tcPr>
          <w:p w:rsidR="001F4989" w:rsidRPr="001C6161" w:rsidRDefault="001F4989" w:rsidP="009828E8">
            <w:pPr>
              <w:jc w:val="center"/>
              <w:rPr>
                <w:rFonts w:ascii="Times New Roman" w:hAnsi="Times New Roman" w:cs="Times New Roman"/>
              </w:rPr>
            </w:pPr>
            <w:r>
              <w:rPr>
                <w:rFonts w:ascii="Times New Roman" w:hAnsi="Times New Roman" w:cs="Times New Roman"/>
                <w:lang w:val="en-US"/>
              </w:rPr>
              <w:t>15</w:t>
            </w:r>
          </w:p>
        </w:tc>
        <w:tc>
          <w:tcPr>
            <w:tcW w:w="1429" w:type="dxa"/>
            <w:shd w:val="clear" w:color="auto" w:fill="FFFF00"/>
            <w:vAlign w:val="center"/>
          </w:tcPr>
          <w:p w:rsidR="001F4989" w:rsidRPr="001C6161" w:rsidRDefault="00C41C09" w:rsidP="00C41C09">
            <w:pPr>
              <w:jc w:val="center"/>
              <w:rPr>
                <w:rFonts w:ascii="Times New Roman" w:hAnsi="Times New Roman" w:cs="Times New Roman"/>
                <w:lang w:val="en-US"/>
              </w:rPr>
            </w:pPr>
            <w:r>
              <w:rPr>
                <w:rFonts w:ascii="Times New Roman" w:hAnsi="Times New Roman" w:cs="Times New Roman"/>
                <w:lang w:val="en-US"/>
              </w:rPr>
              <w:t>96</w:t>
            </w:r>
          </w:p>
        </w:tc>
        <w:tc>
          <w:tcPr>
            <w:tcW w:w="1133" w:type="dxa"/>
            <w:shd w:val="clear" w:color="auto" w:fill="FFFF00"/>
            <w:vAlign w:val="center"/>
          </w:tcPr>
          <w:p w:rsidR="001F4989" w:rsidRPr="001C6161" w:rsidRDefault="001F4989" w:rsidP="0092492D">
            <w:pPr>
              <w:jc w:val="both"/>
              <w:rPr>
                <w:rFonts w:ascii="Times New Roman" w:hAnsi="Times New Roman" w:cs="Times New Roman"/>
                <w:lang w:val="en-US"/>
              </w:rPr>
            </w:pPr>
            <w:r w:rsidRPr="001C6161">
              <w:rPr>
                <w:rFonts w:ascii="Times New Roman" w:hAnsi="Times New Roman" w:cs="Times New Roman"/>
                <w:lang w:val="en-US"/>
              </w:rPr>
              <w:t>90</w:t>
            </w:r>
            <w:r>
              <w:rPr>
                <w:rFonts w:ascii="Times New Roman" w:hAnsi="Times New Roman" w:cs="Times New Roman"/>
                <w:lang w:val="en-US"/>
              </w:rPr>
              <w:t>-99.9</w:t>
            </w:r>
            <w:r w:rsidRPr="001C6161">
              <w:rPr>
                <w:rFonts w:ascii="Times New Roman" w:hAnsi="Times New Roman" w:cs="Times New Roman"/>
                <w:lang w:val="en-US"/>
              </w:rPr>
              <w:t>%</w:t>
            </w:r>
          </w:p>
        </w:tc>
        <w:tc>
          <w:tcPr>
            <w:tcW w:w="2407" w:type="dxa"/>
            <w:shd w:val="clear" w:color="auto" w:fill="FFFF00"/>
            <w:vAlign w:val="center"/>
          </w:tcPr>
          <w:p w:rsidR="001F4989" w:rsidRPr="001C6161" w:rsidRDefault="001F4989" w:rsidP="0092492D">
            <w:pPr>
              <w:jc w:val="both"/>
              <w:rPr>
                <w:rFonts w:ascii="Times New Roman" w:hAnsi="Times New Roman" w:cs="Times New Roman"/>
                <w:lang w:val="en-US"/>
              </w:rPr>
            </w:pPr>
            <w:r>
              <w:rPr>
                <w:rFonts w:ascii="Times New Roman" w:hAnsi="Times New Roman" w:cs="Times New Roman"/>
                <w:lang w:val="en-US"/>
              </w:rPr>
              <w:t>Decreased susceptibility</w:t>
            </w:r>
          </w:p>
        </w:tc>
      </w:tr>
      <w:tr w:rsidR="001F4989" w:rsidRPr="001C6161" w:rsidTr="00C41C09">
        <w:tc>
          <w:tcPr>
            <w:tcW w:w="1435" w:type="dxa"/>
            <w:shd w:val="clear" w:color="auto" w:fill="FF0000"/>
            <w:vAlign w:val="center"/>
          </w:tcPr>
          <w:p w:rsidR="001F4989" w:rsidRDefault="001F4989" w:rsidP="009828E8">
            <w:pPr>
              <w:jc w:val="center"/>
              <w:rPr>
                <w:rFonts w:ascii="Times New Roman" w:hAnsi="Times New Roman" w:cs="Times New Roman"/>
                <w:lang w:val="en-US"/>
              </w:rPr>
            </w:pPr>
            <w:r>
              <w:rPr>
                <w:rFonts w:ascii="Times New Roman" w:hAnsi="Times New Roman" w:cs="Times New Roman"/>
                <w:lang w:val="en-US"/>
              </w:rPr>
              <w:t>15</w:t>
            </w:r>
          </w:p>
          <w:p w:rsidR="001F4989" w:rsidRPr="001C6161" w:rsidRDefault="001F4989" w:rsidP="009828E8">
            <w:pPr>
              <w:jc w:val="center"/>
              <w:rPr>
                <w:rFonts w:ascii="Times New Roman" w:hAnsi="Times New Roman" w:cs="Times New Roman"/>
              </w:rPr>
            </w:pPr>
            <w:r>
              <w:rPr>
                <w:rFonts w:ascii="Times New Roman" w:hAnsi="Times New Roman" w:cs="Times New Roman"/>
                <w:lang w:val="en-US"/>
              </w:rPr>
              <w:t>37.5</w:t>
            </w:r>
          </w:p>
        </w:tc>
        <w:tc>
          <w:tcPr>
            <w:tcW w:w="1429" w:type="dxa"/>
            <w:shd w:val="clear" w:color="auto" w:fill="FF0000"/>
            <w:vAlign w:val="center"/>
          </w:tcPr>
          <w:p w:rsidR="001F4989" w:rsidRDefault="00C41C09" w:rsidP="00C41C09">
            <w:pPr>
              <w:jc w:val="center"/>
              <w:rPr>
                <w:rFonts w:ascii="Times New Roman" w:hAnsi="Times New Roman" w:cs="Times New Roman"/>
                <w:lang w:val="en-US"/>
              </w:rPr>
            </w:pPr>
            <w:r>
              <w:rPr>
                <w:rFonts w:ascii="Times New Roman" w:hAnsi="Times New Roman" w:cs="Times New Roman"/>
                <w:lang w:val="en-US"/>
              </w:rPr>
              <w:t>96</w:t>
            </w:r>
          </w:p>
          <w:p w:rsidR="00C41C09" w:rsidRDefault="00C41C09" w:rsidP="00C41C09">
            <w:pPr>
              <w:jc w:val="center"/>
              <w:rPr>
                <w:rFonts w:ascii="Times New Roman" w:hAnsi="Times New Roman" w:cs="Times New Roman"/>
                <w:lang w:val="en-US"/>
              </w:rPr>
            </w:pPr>
            <w:r>
              <w:rPr>
                <w:rFonts w:ascii="Times New Roman" w:hAnsi="Times New Roman" w:cs="Times New Roman"/>
                <w:lang w:val="en-US"/>
              </w:rPr>
              <w:t>240</w:t>
            </w:r>
          </w:p>
        </w:tc>
        <w:tc>
          <w:tcPr>
            <w:tcW w:w="1133" w:type="dxa"/>
            <w:shd w:val="clear" w:color="auto" w:fill="FF0000"/>
            <w:vAlign w:val="center"/>
          </w:tcPr>
          <w:p w:rsidR="001F4989" w:rsidRDefault="001F4989" w:rsidP="0092492D">
            <w:pPr>
              <w:jc w:val="both"/>
              <w:rPr>
                <w:rFonts w:ascii="Times New Roman" w:hAnsi="Times New Roman" w:cs="Times New Roman"/>
                <w:lang w:val="en-US"/>
              </w:rPr>
            </w:pPr>
            <w:r>
              <w:rPr>
                <w:rFonts w:ascii="Times New Roman" w:hAnsi="Times New Roman" w:cs="Times New Roman"/>
                <w:lang w:val="en-US"/>
              </w:rPr>
              <w:t>&lt;9</w:t>
            </w:r>
            <w:r w:rsidRPr="001C6161">
              <w:rPr>
                <w:rFonts w:ascii="Times New Roman" w:hAnsi="Times New Roman" w:cs="Times New Roman"/>
                <w:lang w:val="en-US"/>
              </w:rPr>
              <w:t>0%</w:t>
            </w:r>
          </w:p>
          <w:p w:rsidR="001F4989" w:rsidRPr="001C6161" w:rsidRDefault="001F4989" w:rsidP="0092492D">
            <w:pPr>
              <w:jc w:val="both"/>
              <w:rPr>
                <w:rFonts w:ascii="Times New Roman" w:hAnsi="Times New Roman" w:cs="Times New Roman"/>
                <w:lang w:val="en-US"/>
              </w:rPr>
            </w:pPr>
            <w:r>
              <w:rPr>
                <w:rFonts w:ascii="Times New Roman" w:hAnsi="Times New Roman" w:cs="Times New Roman"/>
                <w:lang w:val="en-US"/>
              </w:rPr>
              <w:t>&lt;100%</w:t>
            </w:r>
          </w:p>
        </w:tc>
        <w:tc>
          <w:tcPr>
            <w:tcW w:w="2407" w:type="dxa"/>
            <w:shd w:val="clear" w:color="auto" w:fill="FF0000"/>
            <w:vAlign w:val="center"/>
          </w:tcPr>
          <w:p w:rsidR="001F4989" w:rsidRPr="001C6161" w:rsidRDefault="001F4989" w:rsidP="0092492D">
            <w:pPr>
              <w:jc w:val="both"/>
              <w:rPr>
                <w:rFonts w:ascii="Times New Roman" w:hAnsi="Times New Roman" w:cs="Times New Roman"/>
                <w:lang w:val="en-US"/>
              </w:rPr>
            </w:pPr>
            <w:r>
              <w:rPr>
                <w:rFonts w:ascii="Times New Roman" w:hAnsi="Times New Roman" w:cs="Times New Roman"/>
                <w:lang w:val="en-US"/>
              </w:rPr>
              <w:t>Resistance suspected</w:t>
            </w:r>
          </w:p>
        </w:tc>
      </w:tr>
    </w:tbl>
    <w:p w:rsidR="00076358" w:rsidRPr="001C6161" w:rsidRDefault="00076358" w:rsidP="00076358">
      <w:pPr>
        <w:jc w:val="both"/>
        <w:rPr>
          <w:rFonts w:ascii="Times New Roman" w:hAnsi="Times New Roman" w:cs="Times New Roman"/>
          <w:lang w:val="en-US"/>
        </w:rPr>
      </w:pPr>
      <w:r w:rsidRPr="001C6161">
        <w:rPr>
          <w:rFonts w:ascii="Times New Roman" w:hAnsi="Times New Roman" w:cs="Times New Roman"/>
          <w:lang w:val="en-US"/>
        </w:rPr>
        <w:lastRenderedPageBreak/>
        <w:t>Data was obtained from Sweden</w:t>
      </w:r>
      <w:r>
        <w:rPr>
          <w:rFonts w:ascii="Times New Roman" w:hAnsi="Times New Roman" w:cs="Times New Roman"/>
          <w:lang w:val="en-US"/>
        </w:rPr>
        <w:t xml:space="preserve">, where four and three </w:t>
      </w:r>
      <w:r w:rsidR="00A20536">
        <w:rPr>
          <w:rFonts w:ascii="Times New Roman" w:hAnsi="Times New Roman" w:cs="Times New Roman"/>
          <w:lang w:val="en-US"/>
        </w:rPr>
        <w:t xml:space="preserve">population samples of </w:t>
      </w:r>
      <w:r w:rsidR="00A20536" w:rsidRPr="00A20536">
        <w:rPr>
          <w:rFonts w:ascii="Times New Roman" w:hAnsi="Times New Roman" w:cs="Times New Roman"/>
          <w:i/>
          <w:lang w:val="en-US"/>
        </w:rPr>
        <w:t xml:space="preserve">C. </w:t>
      </w:r>
      <w:proofErr w:type="spellStart"/>
      <w:r w:rsidR="00A20536" w:rsidRPr="00A20536">
        <w:rPr>
          <w:rFonts w:ascii="Times New Roman" w:hAnsi="Times New Roman" w:cs="Times New Roman"/>
          <w:i/>
          <w:lang w:val="en-US"/>
        </w:rPr>
        <w:t>obstrictus</w:t>
      </w:r>
      <w:proofErr w:type="spellEnd"/>
      <w:r w:rsidR="00A20536" w:rsidRPr="00A20536">
        <w:rPr>
          <w:rFonts w:ascii="Times New Roman" w:hAnsi="Times New Roman" w:cs="Times New Roman"/>
          <w:lang w:val="en-US"/>
        </w:rPr>
        <w:t xml:space="preserve"> </w:t>
      </w:r>
      <w:r w:rsidRPr="001C6161">
        <w:rPr>
          <w:rFonts w:ascii="Times New Roman" w:hAnsi="Times New Roman" w:cs="Times New Roman"/>
          <w:lang w:val="en-US"/>
        </w:rPr>
        <w:t>were collected and tested in the lab</w:t>
      </w:r>
      <w:r>
        <w:rPr>
          <w:rFonts w:ascii="Times New Roman" w:hAnsi="Times New Roman" w:cs="Times New Roman"/>
          <w:lang w:val="en-US"/>
        </w:rPr>
        <w:t xml:space="preserve"> against </w:t>
      </w:r>
      <w:r w:rsidRPr="001C6161">
        <w:rPr>
          <w:rFonts w:ascii="Times New Roman" w:hAnsi="Times New Roman" w:cs="Times New Roman"/>
          <w:lang w:val="en-US"/>
        </w:rPr>
        <w:t>λ-cyhalothrin</w:t>
      </w:r>
      <w:r>
        <w:rPr>
          <w:rFonts w:ascii="Times New Roman" w:hAnsi="Times New Roman" w:cs="Times New Roman"/>
          <w:lang w:val="en-US"/>
        </w:rPr>
        <w:t xml:space="preserve"> and </w:t>
      </w:r>
      <w:r w:rsidRPr="00303A53">
        <w:rPr>
          <w:rFonts w:ascii="Times New Roman" w:hAnsi="Times New Roman" w:cs="Times New Roman"/>
          <w:lang w:val="en-US"/>
        </w:rPr>
        <w:t>τ-</w:t>
      </w:r>
      <w:proofErr w:type="spellStart"/>
      <w:r w:rsidRPr="00303A53">
        <w:rPr>
          <w:rFonts w:ascii="Times New Roman" w:hAnsi="Times New Roman" w:cs="Times New Roman"/>
          <w:lang w:val="en-US"/>
        </w:rPr>
        <w:t>fluvalinate</w:t>
      </w:r>
      <w:proofErr w:type="spellEnd"/>
      <w:r>
        <w:rPr>
          <w:rFonts w:ascii="Times New Roman" w:hAnsi="Times New Roman" w:cs="Times New Roman"/>
          <w:lang w:val="en-US"/>
        </w:rPr>
        <w:t>, respectively</w:t>
      </w:r>
      <w:r w:rsidRPr="001C6161">
        <w:rPr>
          <w:rFonts w:ascii="Times New Roman" w:hAnsi="Times New Roman" w:cs="Times New Roman"/>
          <w:lang w:val="en-US"/>
        </w:rPr>
        <w:t>.</w:t>
      </w:r>
    </w:p>
    <w:p w:rsidR="00EF1259" w:rsidRPr="001C6161" w:rsidRDefault="00EF1259" w:rsidP="001F1F59">
      <w:pPr>
        <w:jc w:val="both"/>
        <w:rPr>
          <w:rFonts w:ascii="Times New Roman" w:hAnsi="Times New Roman" w:cs="Times New Roman"/>
          <w:lang w:val="en-US"/>
        </w:rPr>
      </w:pPr>
    </w:p>
    <w:p w:rsidR="00D106A4" w:rsidRPr="0047151B" w:rsidRDefault="00D106A4" w:rsidP="00D106A4">
      <w:pPr>
        <w:pStyle w:val="Heading4"/>
        <w:rPr>
          <w:rFonts w:ascii="Times New Roman" w:hAnsi="Times New Roman" w:cs="Times New Roman"/>
          <w:b/>
          <w:i w:val="0"/>
          <w:color w:val="auto"/>
          <w:sz w:val="24"/>
          <w:lang w:val="en-US"/>
        </w:rPr>
      </w:pPr>
      <w:r w:rsidRPr="0047151B">
        <w:rPr>
          <w:rFonts w:ascii="Times New Roman" w:hAnsi="Times New Roman" w:cs="Times New Roman"/>
          <w:b/>
          <w:i w:val="0"/>
          <w:color w:val="auto"/>
          <w:sz w:val="24"/>
          <w:lang w:val="en-US"/>
        </w:rPr>
        <w:t>Results (</w:t>
      </w:r>
      <w:r w:rsidR="00784261">
        <w:rPr>
          <w:rFonts w:ascii="Times New Roman" w:hAnsi="Times New Roman" w:cs="Times New Roman"/>
          <w:b/>
          <w:i w:val="0"/>
          <w:color w:val="auto"/>
          <w:sz w:val="24"/>
          <w:lang w:val="en-US"/>
        </w:rPr>
        <w:t>pyrethroid</w:t>
      </w:r>
      <w:r w:rsidRPr="0047151B">
        <w:rPr>
          <w:rFonts w:ascii="Times New Roman" w:hAnsi="Times New Roman" w:cs="Times New Roman"/>
          <w:b/>
          <w:i w:val="0"/>
          <w:color w:val="auto"/>
          <w:sz w:val="24"/>
          <w:lang w:val="en-US"/>
        </w:rPr>
        <w:t>)</w:t>
      </w:r>
    </w:p>
    <w:p w:rsidR="001C6161" w:rsidRPr="00BB117B" w:rsidRDefault="00B32DF1" w:rsidP="001F1F59">
      <w:pPr>
        <w:jc w:val="both"/>
        <w:rPr>
          <w:rFonts w:ascii="Times New Roman" w:hAnsi="Times New Roman" w:cs="Times New Roman"/>
          <w:lang w:val="en-US"/>
        </w:rPr>
      </w:pPr>
      <w:r w:rsidRPr="00BB117B">
        <w:rPr>
          <w:noProof/>
          <w:lang w:val="en-US"/>
        </w:rPr>
        <w:drawing>
          <wp:inline distT="0" distB="0" distL="0" distR="0" wp14:anchorId="6AE396A8" wp14:editId="3A0DB432">
            <wp:extent cx="5743575" cy="34004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06A4" w:rsidRPr="00BB117B" w:rsidRDefault="00B32DF1" w:rsidP="001F1F59">
      <w:pPr>
        <w:jc w:val="both"/>
        <w:rPr>
          <w:rFonts w:ascii="Times New Roman" w:hAnsi="Times New Roman" w:cs="Times New Roman"/>
          <w:highlight w:val="yellow"/>
          <w:lang w:val="en-US"/>
        </w:rPr>
      </w:pPr>
      <w:r w:rsidRPr="00BB117B">
        <w:rPr>
          <w:rFonts w:ascii="Times New Roman" w:hAnsi="Times New Roman" w:cs="Times New Roman"/>
          <w:lang w:val="en-US"/>
        </w:rPr>
        <w:t xml:space="preserve">All and the majority of the </w:t>
      </w:r>
      <w:r w:rsidR="00A20536" w:rsidRPr="00BB117B">
        <w:rPr>
          <w:rFonts w:ascii="Times New Roman" w:hAnsi="Times New Roman" w:cs="Times New Roman"/>
          <w:i/>
          <w:lang w:val="en-US"/>
        </w:rPr>
        <w:t xml:space="preserve">C. </w:t>
      </w:r>
      <w:proofErr w:type="spellStart"/>
      <w:r w:rsidR="00A20536" w:rsidRPr="00BB117B">
        <w:rPr>
          <w:rFonts w:ascii="Times New Roman" w:hAnsi="Times New Roman" w:cs="Times New Roman"/>
          <w:i/>
          <w:lang w:val="en-US"/>
        </w:rPr>
        <w:t>obstrictus</w:t>
      </w:r>
      <w:proofErr w:type="spellEnd"/>
      <w:r w:rsidR="00A20536" w:rsidRPr="00BB117B">
        <w:rPr>
          <w:rFonts w:ascii="Times New Roman" w:hAnsi="Times New Roman" w:cs="Times New Roman"/>
          <w:lang w:val="en-US"/>
        </w:rPr>
        <w:t xml:space="preserve"> </w:t>
      </w:r>
      <w:r w:rsidRPr="00BB117B">
        <w:rPr>
          <w:rFonts w:ascii="Times New Roman" w:hAnsi="Times New Roman" w:cs="Times New Roman"/>
          <w:lang w:val="en-US"/>
        </w:rPr>
        <w:t xml:space="preserve">population samples proved susceptible to </w:t>
      </w:r>
      <w:r w:rsidRPr="00BB117B">
        <w:rPr>
          <w:rFonts w:ascii="Times New Roman" w:hAnsi="Times New Roman" w:cs="Times New Roman"/>
          <w:lang w:val="en-US"/>
        </w:rPr>
        <w:t>λ-cyhalothrin and</w:t>
      </w:r>
      <w:r w:rsidRPr="00BB117B">
        <w:rPr>
          <w:rFonts w:ascii="Times New Roman" w:hAnsi="Times New Roman" w:cs="Times New Roman"/>
          <w:lang w:val="en-US"/>
        </w:rPr>
        <w:t xml:space="preserve"> </w:t>
      </w:r>
      <w:r w:rsidRPr="00BB117B">
        <w:rPr>
          <w:rFonts w:ascii="Times New Roman" w:hAnsi="Times New Roman" w:cs="Times New Roman"/>
          <w:lang w:val="en-US"/>
        </w:rPr>
        <w:t>τ-</w:t>
      </w:r>
      <w:proofErr w:type="spellStart"/>
      <w:r w:rsidRPr="00BB117B">
        <w:rPr>
          <w:rFonts w:ascii="Times New Roman" w:hAnsi="Times New Roman" w:cs="Times New Roman"/>
          <w:lang w:val="en-US"/>
        </w:rPr>
        <w:t>fluvalinate</w:t>
      </w:r>
      <w:proofErr w:type="spellEnd"/>
      <w:r w:rsidRPr="00BB117B">
        <w:rPr>
          <w:rFonts w:ascii="Times New Roman" w:hAnsi="Times New Roman" w:cs="Times New Roman"/>
          <w:lang w:val="en-US"/>
        </w:rPr>
        <w:t xml:space="preserve">, respectively. </w:t>
      </w:r>
      <w:r w:rsidR="00A20536" w:rsidRPr="00BB117B">
        <w:rPr>
          <w:rFonts w:ascii="Times New Roman" w:hAnsi="Times New Roman" w:cs="Times New Roman"/>
          <w:lang w:val="en-US"/>
        </w:rPr>
        <w:t xml:space="preserve">Despite the fact that laboratory trial results cannot be directly transferred to control issues in the field, the data suggest few if any control issues of </w:t>
      </w:r>
      <w:r w:rsidR="00A20536" w:rsidRPr="00BB117B">
        <w:rPr>
          <w:rFonts w:ascii="Times New Roman" w:hAnsi="Times New Roman" w:cs="Times New Roman"/>
          <w:i/>
          <w:lang w:val="en-US"/>
        </w:rPr>
        <w:t xml:space="preserve">C. </w:t>
      </w:r>
      <w:proofErr w:type="spellStart"/>
      <w:r w:rsidR="00A20536" w:rsidRPr="00BB117B">
        <w:rPr>
          <w:rFonts w:ascii="Times New Roman" w:hAnsi="Times New Roman" w:cs="Times New Roman"/>
          <w:i/>
          <w:lang w:val="en-US"/>
        </w:rPr>
        <w:t>obstrictus</w:t>
      </w:r>
      <w:proofErr w:type="spellEnd"/>
      <w:r w:rsidR="00A20536" w:rsidRPr="00BB117B">
        <w:rPr>
          <w:rFonts w:ascii="Times New Roman" w:hAnsi="Times New Roman" w:cs="Times New Roman"/>
          <w:lang w:val="en-US"/>
        </w:rPr>
        <w:t xml:space="preserve"> in the field. </w:t>
      </w:r>
      <w:r w:rsidR="002418B9" w:rsidRPr="00BB117B">
        <w:rPr>
          <w:rFonts w:ascii="Times New Roman" w:hAnsi="Times New Roman" w:cs="Times New Roman"/>
          <w:lang w:val="en-US"/>
        </w:rPr>
        <w:t xml:space="preserve">However, the data consists of few population samples and only from Sweden, so an overall conclusion on the effectiveness of </w:t>
      </w:r>
      <w:proofErr w:type="spellStart"/>
      <w:r w:rsidR="002418B9" w:rsidRPr="00BB117B">
        <w:rPr>
          <w:rFonts w:ascii="Times New Roman" w:hAnsi="Times New Roman" w:cs="Times New Roman"/>
          <w:lang w:val="en-US"/>
        </w:rPr>
        <w:t>pyrethroids</w:t>
      </w:r>
      <w:proofErr w:type="spellEnd"/>
      <w:r w:rsidR="002418B9" w:rsidRPr="00BB117B">
        <w:rPr>
          <w:rFonts w:ascii="Times New Roman" w:hAnsi="Times New Roman" w:cs="Times New Roman"/>
          <w:lang w:val="en-US"/>
        </w:rPr>
        <w:t xml:space="preserve"> on </w:t>
      </w:r>
      <w:r w:rsidR="002418B9" w:rsidRPr="00BB117B">
        <w:rPr>
          <w:rFonts w:ascii="Times New Roman" w:hAnsi="Times New Roman" w:cs="Times New Roman"/>
          <w:i/>
          <w:lang w:val="en-US"/>
        </w:rPr>
        <w:t xml:space="preserve">C. </w:t>
      </w:r>
      <w:proofErr w:type="spellStart"/>
      <w:r w:rsidR="002418B9" w:rsidRPr="00BB117B">
        <w:rPr>
          <w:rFonts w:ascii="Times New Roman" w:hAnsi="Times New Roman" w:cs="Times New Roman"/>
          <w:i/>
          <w:lang w:val="en-US"/>
        </w:rPr>
        <w:t>obstrictus</w:t>
      </w:r>
      <w:proofErr w:type="spellEnd"/>
      <w:r w:rsidR="002418B9" w:rsidRPr="00BB117B">
        <w:rPr>
          <w:rFonts w:ascii="Times New Roman" w:hAnsi="Times New Roman" w:cs="Times New Roman"/>
          <w:lang w:val="en-US"/>
        </w:rPr>
        <w:t xml:space="preserve"> control in the Nordic and Balti</w:t>
      </w:r>
      <w:bookmarkStart w:id="0" w:name="_GoBack"/>
      <w:bookmarkEnd w:id="0"/>
      <w:r w:rsidR="002418B9" w:rsidRPr="00BB117B">
        <w:rPr>
          <w:rFonts w:ascii="Times New Roman" w:hAnsi="Times New Roman" w:cs="Times New Roman"/>
          <w:lang w:val="en-US"/>
        </w:rPr>
        <w:t xml:space="preserve">c countries is limited based on the current data. </w:t>
      </w:r>
    </w:p>
    <w:p w:rsidR="00D106A4" w:rsidRPr="00BB117B" w:rsidRDefault="00D106A4" w:rsidP="00D106A4">
      <w:pPr>
        <w:rPr>
          <w:lang w:val="en-US"/>
        </w:rPr>
      </w:pPr>
    </w:p>
    <w:p w:rsidR="00355604" w:rsidRDefault="00EF091C" w:rsidP="00355604">
      <w:pPr>
        <w:jc w:val="both"/>
        <w:rPr>
          <w:rFonts w:ascii="Times New Roman" w:hAnsi="Times New Roman" w:cs="Times New Roman"/>
          <w:lang w:val="en-US"/>
        </w:rPr>
      </w:pPr>
      <w:r>
        <w:rPr>
          <w:rFonts w:ascii="Times New Roman" w:hAnsi="Times New Roman" w:cs="Times New Roman"/>
          <w:lang w:val="en-US"/>
        </w:rPr>
        <w:t xml:space="preserve">Method 031 is the only available IRAC test method for </w:t>
      </w:r>
      <w:r w:rsidRPr="00C41C09">
        <w:rPr>
          <w:rFonts w:ascii="Times New Roman" w:hAnsi="Times New Roman" w:cs="Times New Roman"/>
          <w:i/>
          <w:lang w:val="en-US"/>
        </w:rPr>
        <w:t xml:space="preserve">C. </w:t>
      </w:r>
      <w:proofErr w:type="spellStart"/>
      <w:r w:rsidRPr="00C41C09">
        <w:rPr>
          <w:rFonts w:ascii="Times New Roman" w:hAnsi="Times New Roman" w:cs="Times New Roman"/>
          <w:i/>
          <w:lang w:val="en-US"/>
        </w:rPr>
        <w:t>obstri</w:t>
      </w:r>
      <w:r w:rsidR="00C41C09">
        <w:rPr>
          <w:rFonts w:ascii="Times New Roman" w:hAnsi="Times New Roman" w:cs="Times New Roman"/>
          <w:i/>
          <w:lang w:val="en-US"/>
        </w:rPr>
        <w:t>c</w:t>
      </w:r>
      <w:r w:rsidRPr="00C41C09">
        <w:rPr>
          <w:rFonts w:ascii="Times New Roman" w:hAnsi="Times New Roman" w:cs="Times New Roman"/>
          <w:i/>
          <w:lang w:val="en-US"/>
        </w:rPr>
        <w:t>tus</w:t>
      </w:r>
      <w:proofErr w:type="spellEnd"/>
      <w:r>
        <w:rPr>
          <w:rFonts w:ascii="Times New Roman" w:hAnsi="Times New Roman" w:cs="Times New Roman"/>
          <w:lang w:val="en-US"/>
        </w:rPr>
        <w:t xml:space="preserve">, so this method is also used to test </w:t>
      </w:r>
      <w:r w:rsidR="00C41C09">
        <w:rPr>
          <w:rFonts w:ascii="Times New Roman" w:hAnsi="Times New Roman" w:cs="Times New Roman"/>
          <w:lang w:val="en-US"/>
        </w:rPr>
        <w:t>sensitiv</w:t>
      </w:r>
      <w:r>
        <w:rPr>
          <w:rFonts w:ascii="Times New Roman" w:hAnsi="Times New Roman" w:cs="Times New Roman"/>
          <w:lang w:val="en-US"/>
        </w:rPr>
        <w:t xml:space="preserve">ity of </w:t>
      </w:r>
      <w:r w:rsidR="00C41C09" w:rsidRPr="00C41C09">
        <w:rPr>
          <w:rFonts w:ascii="Times New Roman" w:hAnsi="Times New Roman" w:cs="Times New Roman"/>
          <w:i/>
          <w:lang w:val="en-US"/>
        </w:rPr>
        <w:t xml:space="preserve">C. </w:t>
      </w:r>
      <w:proofErr w:type="spellStart"/>
      <w:r w:rsidR="00C41C09" w:rsidRPr="00EF1259">
        <w:rPr>
          <w:rFonts w:ascii="Times New Roman" w:hAnsi="Times New Roman" w:cs="Times New Roman"/>
          <w:i/>
          <w:lang w:val="en-US"/>
        </w:rPr>
        <w:t>obstrictus</w:t>
      </w:r>
      <w:proofErr w:type="spellEnd"/>
      <w:r w:rsidR="00C41C09">
        <w:rPr>
          <w:rFonts w:ascii="Times New Roman" w:hAnsi="Times New Roman" w:cs="Times New Roman"/>
          <w:lang w:val="en-US"/>
        </w:rPr>
        <w:t xml:space="preserve"> against</w:t>
      </w:r>
      <w:r w:rsidR="002418B9">
        <w:rPr>
          <w:rFonts w:ascii="Times New Roman" w:hAnsi="Times New Roman" w:cs="Times New Roman"/>
          <w:lang w:val="en-US"/>
        </w:rPr>
        <w:t xml:space="preserve"> the neonicotinoid</w:t>
      </w:r>
      <w:r w:rsidR="00C41C09">
        <w:rPr>
          <w:rFonts w:ascii="Times New Roman" w:hAnsi="Times New Roman" w:cs="Times New Roman"/>
          <w:lang w:val="en-US"/>
        </w:rPr>
        <w:t xml:space="preserve"> </w:t>
      </w:r>
      <w:proofErr w:type="spellStart"/>
      <w:r w:rsidR="00C41C09">
        <w:rPr>
          <w:rFonts w:ascii="Times New Roman" w:hAnsi="Times New Roman" w:cs="Times New Roman"/>
          <w:lang w:val="en-US"/>
        </w:rPr>
        <w:t>thiacloprid</w:t>
      </w:r>
      <w:proofErr w:type="spellEnd"/>
      <w:r w:rsidR="00C41C09">
        <w:rPr>
          <w:rFonts w:ascii="Times New Roman" w:hAnsi="Times New Roman" w:cs="Times New Roman"/>
          <w:lang w:val="en-US"/>
        </w:rPr>
        <w:t xml:space="preserve">. </w:t>
      </w:r>
      <w:r w:rsidR="00355604">
        <w:rPr>
          <w:rFonts w:ascii="Times New Roman" w:hAnsi="Times New Roman" w:cs="Times New Roman"/>
          <w:lang w:val="en-US"/>
        </w:rPr>
        <w:t xml:space="preserve">Weevils were tested at </w:t>
      </w:r>
      <w:r w:rsidR="00355604" w:rsidRPr="001C6161">
        <w:rPr>
          <w:rFonts w:ascii="Times New Roman" w:hAnsi="Times New Roman" w:cs="Times New Roman"/>
          <w:lang w:val="en-US"/>
        </w:rPr>
        <w:t>20%, 100% and 200% of the field rate</w:t>
      </w:r>
      <w:r w:rsidR="00355604">
        <w:rPr>
          <w:rFonts w:ascii="Times New Roman" w:hAnsi="Times New Roman" w:cs="Times New Roman"/>
          <w:lang w:val="en-US"/>
        </w:rPr>
        <w:t xml:space="preserve"> (</w:t>
      </w:r>
      <w:r w:rsidR="00334B70">
        <w:rPr>
          <w:rFonts w:ascii="Times New Roman" w:hAnsi="Times New Roman" w:cs="Times New Roman"/>
          <w:lang w:val="en-US"/>
        </w:rPr>
        <w:t xml:space="preserve">field rate: </w:t>
      </w:r>
      <w:r w:rsidR="00355604">
        <w:rPr>
          <w:rFonts w:ascii="Times New Roman" w:hAnsi="Times New Roman" w:cs="Times New Roman"/>
          <w:lang w:val="en-US"/>
        </w:rPr>
        <w:t>720 ng/cm</w:t>
      </w:r>
      <w:r w:rsidR="00355604" w:rsidRPr="00355604">
        <w:rPr>
          <w:rFonts w:ascii="Times New Roman" w:hAnsi="Times New Roman" w:cs="Times New Roman"/>
          <w:vertAlign w:val="superscript"/>
          <w:lang w:val="en-US"/>
        </w:rPr>
        <w:t>3</w:t>
      </w:r>
      <w:r w:rsidR="00355604">
        <w:rPr>
          <w:rFonts w:ascii="Times New Roman" w:hAnsi="Times New Roman" w:cs="Times New Roman"/>
          <w:lang w:val="en-US"/>
        </w:rPr>
        <w:t xml:space="preserve">). As described in IRAC Method 031, mortality data of </w:t>
      </w:r>
      <w:proofErr w:type="spellStart"/>
      <w:r w:rsidR="00355604">
        <w:rPr>
          <w:rFonts w:ascii="Times New Roman" w:hAnsi="Times New Roman" w:cs="Times New Roman"/>
          <w:lang w:val="en-US"/>
        </w:rPr>
        <w:t>thiacloprid</w:t>
      </w:r>
      <w:proofErr w:type="spellEnd"/>
      <w:r w:rsidR="00355604">
        <w:rPr>
          <w:rFonts w:ascii="Times New Roman" w:hAnsi="Times New Roman" w:cs="Times New Roman"/>
          <w:lang w:val="en-US"/>
        </w:rPr>
        <w:t xml:space="preserve"> at 20% field rate </w:t>
      </w:r>
      <w:r w:rsidR="00334B70">
        <w:rPr>
          <w:rFonts w:ascii="Times New Roman" w:hAnsi="Times New Roman" w:cs="Times New Roman"/>
          <w:lang w:val="en-US"/>
        </w:rPr>
        <w:t>will be</w:t>
      </w:r>
      <w:r w:rsidR="00355604">
        <w:rPr>
          <w:rFonts w:ascii="Times New Roman" w:hAnsi="Times New Roman" w:cs="Times New Roman"/>
          <w:lang w:val="en-US"/>
        </w:rPr>
        <w:t xml:space="preserve"> the basis for susceptibility categorization.</w:t>
      </w:r>
      <w:r w:rsidR="00D42011">
        <w:rPr>
          <w:rFonts w:ascii="Times New Roman" w:hAnsi="Times New Roman" w:cs="Times New Roman"/>
          <w:lang w:val="en-US"/>
        </w:rPr>
        <w:t xml:space="preserve"> Trials were conducted </w:t>
      </w:r>
      <w:r w:rsidR="00076358">
        <w:rPr>
          <w:rFonts w:ascii="Times New Roman" w:hAnsi="Times New Roman" w:cs="Times New Roman"/>
          <w:lang w:val="en-US"/>
        </w:rPr>
        <w:t xml:space="preserve">on four population samples from </w:t>
      </w:r>
      <w:r w:rsidR="00D42011">
        <w:rPr>
          <w:rFonts w:ascii="Times New Roman" w:hAnsi="Times New Roman" w:cs="Times New Roman"/>
          <w:lang w:val="en-US"/>
        </w:rPr>
        <w:t xml:space="preserve">Sweden. </w:t>
      </w:r>
    </w:p>
    <w:p w:rsidR="002418B9" w:rsidRDefault="002418B9" w:rsidP="00355604">
      <w:pPr>
        <w:jc w:val="both"/>
        <w:rPr>
          <w:rFonts w:ascii="Times New Roman" w:hAnsi="Times New Roman" w:cs="Times New Roman"/>
          <w:lang w:val="en-US"/>
        </w:rPr>
      </w:pPr>
    </w:p>
    <w:p w:rsidR="00BB117B" w:rsidRDefault="00BB117B">
      <w:pPr>
        <w:rPr>
          <w:rFonts w:ascii="Times New Roman" w:eastAsiaTheme="majorEastAsia" w:hAnsi="Times New Roman" w:cs="Times New Roman"/>
          <w:b/>
          <w:iCs/>
          <w:sz w:val="24"/>
          <w:lang w:val="en-US"/>
        </w:rPr>
      </w:pPr>
      <w:r>
        <w:rPr>
          <w:rFonts w:ascii="Times New Roman" w:hAnsi="Times New Roman" w:cs="Times New Roman"/>
          <w:b/>
          <w:i/>
          <w:sz w:val="24"/>
          <w:lang w:val="en-US"/>
        </w:rPr>
        <w:br w:type="page"/>
      </w:r>
    </w:p>
    <w:p w:rsidR="00355604" w:rsidRDefault="00076358" w:rsidP="00BB117B">
      <w:pPr>
        <w:pStyle w:val="Heading4"/>
        <w:rPr>
          <w:rFonts w:ascii="Times New Roman" w:hAnsi="Times New Roman" w:cs="Times New Roman"/>
          <w:b/>
          <w:i w:val="0"/>
          <w:color w:val="auto"/>
          <w:sz w:val="24"/>
          <w:lang w:val="en-US"/>
        </w:rPr>
      </w:pPr>
      <w:r w:rsidRPr="0047151B">
        <w:rPr>
          <w:rFonts w:ascii="Times New Roman" w:hAnsi="Times New Roman" w:cs="Times New Roman"/>
          <w:b/>
          <w:i w:val="0"/>
          <w:color w:val="auto"/>
          <w:sz w:val="24"/>
          <w:lang w:val="en-US"/>
        </w:rPr>
        <w:lastRenderedPageBreak/>
        <w:t>Results (</w:t>
      </w:r>
      <w:proofErr w:type="spellStart"/>
      <w:r>
        <w:rPr>
          <w:rFonts w:ascii="Times New Roman" w:hAnsi="Times New Roman" w:cs="Times New Roman"/>
          <w:b/>
          <w:i w:val="0"/>
          <w:color w:val="auto"/>
          <w:sz w:val="24"/>
          <w:lang w:val="en-US"/>
        </w:rPr>
        <w:t>thiacloprid</w:t>
      </w:r>
      <w:proofErr w:type="spellEnd"/>
      <w:r w:rsidRPr="0047151B">
        <w:rPr>
          <w:rFonts w:ascii="Times New Roman" w:hAnsi="Times New Roman" w:cs="Times New Roman"/>
          <w:b/>
          <w:i w:val="0"/>
          <w:color w:val="auto"/>
          <w:sz w:val="24"/>
          <w:lang w:val="en-US"/>
        </w:rPr>
        <w:t>)</w:t>
      </w:r>
    </w:p>
    <w:p w:rsidR="00EF091C" w:rsidRDefault="002418B9" w:rsidP="001F1F59">
      <w:pPr>
        <w:jc w:val="both"/>
        <w:rPr>
          <w:rFonts w:ascii="Times New Roman" w:hAnsi="Times New Roman" w:cs="Times New Roman"/>
          <w:b/>
          <w:lang w:val="en-US"/>
        </w:rPr>
      </w:pPr>
      <w:r>
        <w:rPr>
          <w:noProof/>
          <w:lang w:val="en-US"/>
        </w:rPr>
        <w:drawing>
          <wp:inline distT="0" distB="0" distL="0" distR="0" wp14:anchorId="719DF281" wp14:editId="3F8E7027">
            <wp:extent cx="2998381" cy="3359889"/>
            <wp:effectExtent l="0" t="0" r="12065"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108F8" w:rsidRDefault="002418B9" w:rsidP="001F1F59">
      <w:pPr>
        <w:jc w:val="both"/>
        <w:rPr>
          <w:rFonts w:ascii="Times New Roman" w:hAnsi="Times New Roman" w:cs="Times New Roman"/>
          <w:lang w:val="en-US"/>
        </w:rPr>
      </w:pPr>
      <w:r w:rsidRPr="006108F8">
        <w:rPr>
          <w:rFonts w:ascii="Times New Roman" w:hAnsi="Times New Roman" w:cs="Times New Roman"/>
          <w:lang w:val="en-US"/>
        </w:rPr>
        <w:t xml:space="preserve">In general, </w:t>
      </w:r>
      <w:proofErr w:type="spellStart"/>
      <w:r w:rsidRPr="006108F8">
        <w:rPr>
          <w:rFonts w:ascii="Times New Roman" w:hAnsi="Times New Roman" w:cs="Times New Roman"/>
          <w:lang w:val="en-US"/>
        </w:rPr>
        <w:t>thiacloprid</w:t>
      </w:r>
      <w:proofErr w:type="spellEnd"/>
      <w:r w:rsidRPr="006108F8">
        <w:rPr>
          <w:rFonts w:ascii="Times New Roman" w:hAnsi="Times New Roman" w:cs="Times New Roman"/>
          <w:lang w:val="en-US"/>
        </w:rPr>
        <w:t xml:space="preserve"> had a good effect on C. </w:t>
      </w:r>
      <w:proofErr w:type="spellStart"/>
      <w:r w:rsidRPr="006108F8">
        <w:rPr>
          <w:rFonts w:ascii="Times New Roman" w:hAnsi="Times New Roman" w:cs="Times New Roman"/>
          <w:lang w:val="en-US"/>
        </w:rPr>
        <w:t>obstricus</w:t>
      </w:r>
      <w:proofErr w:type="spellEnd"/>
      <w:r w:rsidRPr="006108F8">
        <w:rPr>
          <w:rFonts w:ascii="Times New Roman" w:hAnsi="Times New Roman" w:cs="Times New Roman"/>
          <w:lang w:val="en-US"/>
        </w:rPr>
        <w:t xml:space="preserve">. In half of the populations samples, </w:t>
      </w:r>
      <w:proofErr w:type="spellStart"/>
      <w:r w:rsidRPr="006108F8">
        <w:rPr>
          <w:rFonts w:ascii="Times New Roman" w:hAnsi="Times New Roman" w:cs="Times New Roman"/>
          <w:lang w:val="en-US"/>
        </w:rPr>
        <w:t>thiacloprid</w:t>
      </w:r>
      <w:proofErr w:type="spellEnd"/>
      <w:r w:rsidRPr="006108F8">
        <w:rPr>
          <w:rFonts w:ascii="Times New Roman" w:hAnsi="Times New Roman" w:cs="Times New Roman"/>
          <w:lang w:val="en-US"/>
        </w:rPr>
        <w:t xml:space="preserve"> caused full mortality of C. </w:t>
      </w:r>
      <w:proofErr w:type="spellStart"/>
      <w:r w:rsidRPr="006108F8">
        <w:rPr>
          <w:rFonts w:ascii="Times New Roman" w:hAnsi="Times New Roman" w:cs="Times New Roman"/>
          <w:lang w:val="en-US"/>
        </w:rPr>
        <w:t>obstricus</w:t>
      </w:r>
      <w:proofErr w:type="spellEnd"/>
      <w:r w:rsidRPr="006108F8">
        <w:rPr>
          <w:rFonts w:ascii="Times New Roman" w:hAnsi="Times New Roman" w:cs="Times New Roman"/>
          <w:lang w:val="en-US"/>
        </w:rPr>
        <w:t xml:space="preserve"> samples and fort the other half of samples, efficacy was &gt;90%. </w:t>
      </w:r>
      <w:r w:rsidR="006108F8" w:rsidRPr="006108F8">
        <w:rPr>
          <w:rFonts w:ascii="Times New Roman" w:hAnsi="Times New Roman" w:cs="Times New Roman"/>
          <w:lang w:val="en-US"/>
        </w:rPr>
        <w:t xml:space="preserve">The samples from Sweden indicate good effect of </w:t>
      </w:r>
      <w:proofErr w:type="spellStart"/>
      <w:r w:rsidR="006108F8" w:rsidRPr="006108F8">
        <w:rPr>
          <w:rFonts w:ascii="Times New Roman" w:hAnsi="Times New Roman" w:cs="Times New Roman"/>
          <w:lang w:val="en-US"/>
        </w:rPr>
        <w:t>thiacloprid</w:t>
      </w:r>
      <w:proofErr w:type="spellEnd"/>
      <w:r w:rsidR="006108F8" w:rsidRPr="006108F8">
        <w:rPr>
          <w:rFonts w:ascii="Times New Roman" w:hAnsi="Times New Roman" w:cs="Times New Roman"/>
          <w:lang w:val="en-US"/>
        </w:rPr>
        <w:t xml:space="preserve"> in a field setting. However, as mentioned above, overall conclusions covering all countries in the </w:t>
      </w:r>
      <w:proofErr w:type="spellStart"/>
      <w:r w:rsidR="006108F8" w:rsidRPr="006108F8">
        <w:rPr>
          <w:rFonts w:ascii="Times New Roman" w:hAnsi="Times New Roman" w:cs="Times New Roman"/>
          <w:lang w:val="en-US"/>
        </w:rPr>
        <w:t>NorBaRAG</w:t>
      </w:r>
      <w:proofErr w:type="spellEnd"/>
      <w:r w:rsidR="006108F8" w:rsidRPr="006108F8">
        <w:rPr>
          <w:rFonts w:ascii="Times New Roman" w:hAnsi="Times New Roman" w:cs="Times New Roman"/>
          <w:lang w:val="en-US"/>
        </w:rPr>
        <w:t xml:space="preserve"> collaboration are difficult to define based on the available data for 2017. </w:t>
      </w:r>
    </w:p>
    <w:p w:rsidR="002418B9" w:rsidRPr="006108F8" w:rsidRDefault="002418B9" w:rsidP="001F1F59">
      <w:pPr>
        <w:jc w:val="both"/>
        <w:rPr>
          <w:rFonts w:ascii="Times New Roman" w:hAnsi="Times New Roman" w:cs="Times New Roman"/>
          <w:lang w:val="en-US"/>
        </w:rPr>
      </w:pPr>
      <w:r w:rsidRPr="006108F8">
        <w:rPr>
          <w:rFonts w:ascii="Times New Roman" w:hAnsi="Times New Roman" w:cs="Times New Roman"/>
          <w:lang w:val="en-US"/>
        </w:rPr>
        <w:t xml:space="preserve"> </w:t>
      </w:r>
    </w:p>
    <w:p w:rsidR="00F04033" w:rsidRPr="001C6161" w:rsidRDefault="00EE2A98" w:rsidP="001F1F59">
      <w:pPr>
        <w:jc w:val="both"/>
        <w:rPr>
          <w:rFonts w:ascii="Times New Roman" w:hAnsi="Times New Roman" w:cs="Times New Roman"/>
          <w:b/>
          <w:lang w:val="en-US"/>
        </w:rPr>
      </w:pPr>
      <w:r w:rsidRPr="001C6161">
        <w:rPr>
          <w:rFonts w:ascii="Times New Roman" w:hAnsi="Times New Roman" w:cs="Times New Roman"/>
          <w:b/>
          <w:lang w:val="en-US"/>
        </w:rPr>
        <w:t>Acknowledgements</w:t>
      </w:r>
    </w:p>
    <w:p w:rsidR="00EE2A98" w:rsidRPr="001C6161" w:rsidRDefault="00EE2A98" w:rsidP="001F1F59">
      <w:pPr>
        <w:jc w:val="both"/>
        <w:rPr>
          <w:rFonts w:ascii="Times New Roman" w:hAnsi="Times New Roman" w:cs="Times New Roman"/>
          <w:lang w:val="en-US"/>
        </w:rPr>
      </w:pPr>
      <w:r w:rsidRPr="001C6161">
        <w:rPr>
          <w:rFonts w:ascii="Times New Roman" w:hAnsi="Times New Roman" w:cs="Times New Roman"/>
          <w:lang w:val="en-US"/>
        </w:rPr>
        <w:t xml:space="preserve">This report is composed of data from participants of the 2018 </w:t>
      </w:r>
      <w:proofErr w:type="spellStart"/>
      <w:r w:rsidRPr="001C6161">
        <w:rPr>
          <w:rFonts w:ascii="Times New Roman" w:hAnsi="Times New Roman" w:cs="Times New Roman"/>
          <w:lang w:val="en-US"/>
        </w:rPr>
        <w:t>NorBaRAG</w:t>
      </w:r>
      <w:proofErr w:type="spellEnd"/>
      <w:r w:rsidRPr="001C6161">
        <w:rPr>
          <w:rFonts w:ascii="Times New Roman" w:hAnsi="Times New Roman" w:cs="Times New Roman"/>
          <w:lang w:val="en-US"/>
        </w:rPr>
        <w:t xml:space="preserve"> meeting.  </w:t>
      </w:r>
    </w:p>
    <w:sectPr w:rsidR="00EE2A98" w:rsidRPr="001C616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18" w:rsidRDefault="00762118" w:rsidP="0090527E">
      <w:pPr>
        <w:spacing w:after="0" w:line="240" w:lineRule="auto"/>
      </w:pPr>
      <w:r>
        <w:separator/>
      </w:r>
    </w:p>
  </w:endnote>
  <w:endnote w:type="continuationSeparator" w:id="0">
    <w:p w:rsidR="00762118" w:rsidRDefault="00762118" w:rsidP="0090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18" w:rsidRDefault="00762118" w:rsidP="0090527E">
      <w:pPr>
        <w:spacing w:after="0" w:line="240" w:lineRule="auto"/>
      </w:pPr>
      <w:r>
        <w:separator/>
      </w:r>
    </w:p>
  </w:footnote>
  <w:footnote w:type="continuationSeparator" w:id="0">
    <w:p w:rsidR="00762118" w:rsidRDefault="00762118" w:rsidP="0090527E">
      <w:pPr>
        <w:spacing w:after="0" w:line="240" w:lineRule="auto"/>
      </w:pPr>
      <w:r>
        <w:continuationSeparator/>
      </w:r>
    </w:p>
  </w:footnote>
  <w:footnote w:id="1">
    <w:p w:rsidR="00094931" w:rsidRPr="0090527E" w:rsidRDefault="00094931" w:rsidP="00094931">
      <w:pPr>
        <w:pStyle w:val="FootnoteText"/>
        <w:rPr>
          <w:rFonts w:ascii="Times New Roman" w:hAnsi="Times New Roman" w:cs="Times New Roman"/>
          <w:lang w:val="en-US"/>
        </w:rPr>
      </w:pPr>
      <w:r w:rsidRPr="0090527E">
        <w:rPr>
          <w:rStyle w:val="FootnoteReference"/>
          <w:rFonts w:ascii="Times New Roman" w:hAnsi="Times New Roman" w:cs="Times New Roman"/>
        </w:rPr>
        <w:footnoteRef/>
      </w:r>
      <w:r w:rsidRPr="0090527E">
        <w:rPr>
          <w:rFonts w:ascii="Times New Roman" w:hAnsi="Times New Roman" w:cs="Times New Roman"/>
        </w:rPr>
        <w:t xml:space="preserve"> Kaiser, C., Jensen, KM.V., </w:t>
      </w:r>
      <w:proofErr w:type="spellStart"/>
      <w:r w:rsidRPr="0090527E">
        <w:rPr>
          <w:rFonts w:ascii="Times New Roman" w:hAnsi="Times New Roman" w:cs="Times New Roman"/>
        </w:rPr>
        <w:t>Nauen</w:t>
      </w:r>
      <w:proofErr w:type="spellEnd"/>
      <w:r w:rsidRPr="0090527E">
        <w:rPr>
          <w:rFonts w:ascii="Times New Roman" w:hAnsi="Times New Roman" w:cs="Times New Roman"/>
        </w:rPr>
        <w:t xml:space="preserve">, R. et al. </w:t>
      </w:r>
      <w:r w:rsidRPr="0090527E">
        <w:rPr>
          <w:rFonts w:ascii="Times New Roman" w:hAnsi="Times New Roman" w:cs="Times New Roman"/>
          <w:lang w:val="en-US"/>
        </w:rPr>
        <w:t xml:space="preserve">J Pest </w:t>
      </w:r>
      <w:proofErr w:type="spellStart"/>
      <w:r w:rsidRPr="0090527E">
        <w:rPr>
          <w:rFonts w:ascii="Times New Roman" w:hAnsi="Times New Roman" w:cs="Times New Roman"/>
          <w:lang w:val="en-US"/>
        </w:rPr>
        <w:t>Sci</w:t>
      </w:r>
      <w:proofErr w:type="spellEnd"/>
      <w:r w:rsidRPr="0090527E">
        <w:rPr>
          <w:rFonts w:ascii="Times New Roman" w:hAnsi="Times New Roman" w:cs="Times New Roman"/>
          <w:lang w:val="en-US"/>
        </w:rPr>
        <w:t xml:space="preserve"> (2018) 91: 447. https://doi.org/10.1007/s10340-017-0856-x</w:t>
      </w:r>
    </w:p>
  </w:footnote>
  <w:footnote w:id="2">
    <w:p w:rsidR="002A1FEE" w:rsidRDefault="002A1FEE">
      <w:pPr>
        <w:pStyle w:val="FootnoteText"/>
      </w:pPr>
      <w:r>
        <w:rPr>
          <w:rStyle w:val="FootnoteReference"/>
        </w:rPr>
        <w:footnoteRef/>
      </w:r>
      <w:r w:rsidRPr="002A1FEE">
        <w:rPr>
          <w:lang w:val="en-US"/>
        </w:rPr>
        <w:t xml:space="preserve"> </w:t>
      </w:r>
      <w:r w:rsidRPr="002A1FEE">
        <w:rPr>
          <w:rFonts w:ascii="Times New Roman" w:hAnsi="Times New Roman" w:cs="Times New Roman"/>
          <w:lang w:val="en-US"/>
        </w:rPr>
        <w:t xml:space="preserve">Zimmer, C. T. and </w:t>
      </w:r>
      <w:proofErr w:type="spellStart"/>
      <w:r w:rsidRPr="002A1FEE">
        <w:rPr>
          <w:rFonts w:ascii="Times New Roman" w:hAnsi="Times New Roman" w:cs="Times New Roman"/>
          <w:lang w:val="en-US"/>
        </w:rPr>
        <w:t>Nauen</w:t>
      </w:r>
      <w:proofErr w:type="spellEnd"/>
      <w:r w:rsidRPr="002A1FEE">
        <w:rPr>
          <w:rFonts w:ascii="Times New Roman" w:hAnsi="Times New Roman" w:cs="Times New Roman"/>
          <w:lang w:val="en-US"/>
        </w:rPr>
        <w:t xml:space="preserve">, R. (2011), Pyrethroid resistance and </w:t>
      </w:r>
      <w:proofErr w:type="spellStart"/>
      <w:r w:rsidRPr="002A1FEE">
        <w:rPr>
          <w:rFonts w:ascii="Times New Roman" w:hAnsi="Times New Roman" w:cs="Times New Roman"/>
          <w:lang w:val="en-US"/>
        </w:rPr>
        <w:t>thiacloprid</w:t>
      </w:r>
      <w:proofErr w:type="spellEnd"/>
      <w:r w:rsidRPr="002A1FEE">
        <w:rPr>
          <w:rFonts w:ascii="Times New Roman" w:hAnsi="Times New Roman" w:cs="Times New Roman"/>
          <w:lang w:val="en-US"/>
        </w:rPr>
        <w:t xml:space="preserve"> baseline susceptibility of European populations of </w:t>
      </w:r>
      <w:proofErr w:type="spellStart"/>
      <w:r w:rsidRPr="002A1FEE">
        <w:rPr>
          <w:rFonts w:ascii="Times New Roman" w:hAnsi="Times New Roman" w:cs="Times New Roman"/>
          <w:lang w:val="en-US"/>
        </w:rPr>
        <w:t>Meligethes</w:t>
      </w:r>
      <w:proofErr w:type="spellEnd"/>
      <w:r w:rsidRPr="002A1FEE">
        <w:rPr>
          <w:rFonts w:ascii="Times New Roman" w:hAnsi="Times New Roman" w:cs="Times New Roman"/>
          <w:lang w:val="en-US"/>
        </w:rPr>
        <w:t xml:space="preserve"> </w:t>
      </w:r>
      <w:proofErr w:type="spellStart"/>
      <w:r w:rsidRPr="002A1FEE">
        <w:rPr>
          <w:rFonts w:ascii="Times New Roman" w:hAnsi="Times New Roman" w:cs="Times New Roman"/>
          <w:lang w:val="en-US"/>
        </w:rPr>
        <w:t>aeneus</w:t>
      </w:r>
      <w:proofErr w:type="spellEnd"/>
      <w:r w:rsidRPr="002A1FEE">
        <w:rPr>
          <w:rFonts w:ascii="Times New Roman" w:hAnsi="Times New Roman" w:cs="Times New Roman"/>
          <w:lang w:val="en-US"/>
        </w:rPr>
        <w:t xml:space="preserve"> (</w:t>
      </w:r>
      <w:proofErr w:type="spellStart"/>
      <w:r w:rsidRPr="002A1FEE">
        <w:rPr>
          <w:rFonts w:ascii="Times New Roman" w:hAnsi="Times New Roman" w:cs="Times New Roman"/>
          <w:lang w:val="en-US"/>
        </w:rPr>
        <w:t>Coleoptera</w:t>
      </w:r>
      <w:proofErr w:type="spellEnd"/>
      <w:r w:rsidRPr="002A1FEE">
        <w:rPr>
          <w:rFonts w:ascii="Times New Roman" w:hAnsi="Times New Roman" w:cs="Times New Roman"/>
          <w:lang w:val="en-US"/>
        </w:rPr>
        <w:t xml:space="preserve">: </w:t>
      </w:r>
      <w:proofErr w:type="spellStart"/>
      <w:r w:rsidRPr="002A1FEE">
        <w:rPr>
          <w:rFonts w:ascii="Times New Roman" w:hAnsi="Times New Roman" w:cs="Times New Roman"/>
          <w:lang w:val="en-US"/>
        </w:rPr>
        <w:t>Nitidulidae</w:t>
      </w:r>
      <w:proofErr w:type="spellEnd"/>
      <w:r w:rsidRPr="002A1FEE">
        <w:rPr>
          <w:rFonts w:ascii="Times New Roman" w:hAnsi="Times New Roman" w:cs="Times New Roman"/>
          <w:lang w:val="en-US"/>
        </w:rPr>
        <w:t xml:space="preserve">) collected in winter oilseed rape. Pest. </w:t>
      </w:r>
      <w:proofErr w:type="spellStart"/>
      <w:r w:rsidRPr="002A1FEE">
        <w:rPr>
          <w:rFonts w:ascii="Times New Roman" w:hAnsi="Times New Roman" w:cs="Times New Roman"/>
          <w:lang w:val="en-US"/>
        </w:rPr>
        <w:t>Manag</w:t>
      </w:r>
      <w:proofErr w:type="spellEnd"/>
      <w:r w:rsidRPr="002A1FEE">
        <w:rPr>
          <w:rFonts w:ascii="Times New Roman" w:hAnsi="Times New Roman" w:cs="Times New Roman"/>
          <w:lang w:val="en-US"/>
        </w:rPr>
        <w:t>. Sci., 67: 599-608. doi:10.1002/ps.2137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E1942"/>
    <w:multiLevelType w:val="hybridMultilevel"/>
    <w:tmpl w:val="1624AF3C"/>
    <w:lvl w:ilvl="0" w:tplc="B8F2BC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a-DK" w:vendorID="64" w:dllVersion="131078" w:nlCheck="1" w:checkStyle="0"/>
  <w:activeWritingStyle w:appName="MSWord" w:lang="en-US" w:vendorID="64" w:dllVersion="131078" w:nlCheck="1" w:checkStyle="1"/>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FDB"/>
    <w:rsid w:val="00003CE0"/>
    <w:rsid w:val="000143E5"/>
    <w:rsid w:val="000227FF"/>
    <w:rsid w:val="00055232"/>
    <w:rsid w:val="00064607"/>
    <w:rsid w:val="00076358"/>
    <w:rsid w:val="000904A8"/>
    <w:rsid w:val="00094931"/>
    <w:rsid w:val="000D3B7D"/>
    <w:rsid w:val="0017727D"/>
    <w:rsid w:val="001C3E85"/>
    <w:rsid w:val="001C4EA5"/>
    <w:rsid w:val="001C6161"/>
    <w:rsid w:val="001C727E"/>
    <w:rsid w:val="001D2542"/>
    <w:rsid w:val="001E038C"/>
    <w:rsid w:val="001E5C66"/>
    <w:rsid w:val="001F1F59"/>
    <w:rsid w:val="001F4989"/>
    <w:rsid w:val="002418B9"/>
    <w:rsid w:val="00250C31"/>
    <w:rsid w:val="002A1FEE"/>
    <w:rsid w:val="002B1680"/>
    <w:rsid w:val="002B7218"/>
    <w:rsid w:val="002E275A"/>
    <w:rsid w:val="00301015"/>
    <w:rsid w:val="00303A53"/>
    <w:rsid w:val="00334B70"/>
    <w:rsid w:val="00336FE5"/>
    <w:rsid w:val="00355604"/>
    <w:rsid w:val="003C3901"/>
    <w:rsid w:val="0047151B"/>
    <w:rsid w:val="004A1CA8"/>
    <w:rsid w:val="004E231D"/>
    <w:rsid w:val="005439D5"/>
    <w:rsid w:val="00564B05"/>
    <w:rsid w:val="00584EA1"/>
    <w:rsid w:val="005C2843"/>
    <w:rsid w:val="006009AE"/>
    <w:rsid w:val="006108F8"/>
    <w:rsid w:val="00637067"/>
    <w:rsid w:val="00642104"/>
    <w:rsid w:val="00647E51"/>
    <w:rsid w:val="00650350"/>
    <w:rsid w:val="00662FEF"/>
    <w:rsid w:val="006E7516"/>
    <w:rsid w:val="00736B79"/>
    <w:rsid w:val="00762118"/>
    <w:rsid w:val="00784261"/>
    <w:rsid w:val="007D6508"/>
    <w:rsid w:val="007E3F80"/>
    <w:rsid w:val="007E589C"/>
    <w:rsid w:val="00815F53"/>
    <w:rsid w:val="00851376"/>
    <w:rsid w:val="008973CE"/>
    <w:rsid w:val="008C679F"/>
    <w:rsid w:val="0090527E"/>
    <w:rsid w:val="00911896"/>
    <w:rsid w:val="0092107B"/>
    <w:rsid w:val="00945FCD"/>
    <w:rsid w:val="00963CDC"/>
    <w:rsid w:val="009828E8"/>
    <w:rsid w:val="009932AF"/>
    <w:rsid w:val="009A4BAF"/>
    <w:rsid w:val="009A67ED"/>
    <w:rsid w:val="009D76C3"/>
    <w:rsid w:val="009E0D25"/>
    <w:rsid w:val="00A05928"/>
    <w:rsid w:val="00A20536"/>
    <w:rsid w:val="00A41429"/>
    <w:rsid w:val="00AA4EF8"/>
    <w:rsid w:val="00AC6C65"/>
    <w:rsid w:val="00B32DF1"/>
    <w:rsid w:val="00B36121"/>
    <w:rsid w:val="00B64DC1"/>
    <w:rsid w:val="00B94BD1"/>
    <w:rsid w:val="00BB117B"/>
    <w:rsid w:val="00BB5F07"/>
    <w:rsid w:val="00BD2C96"/>
    <w:rsid w:val="00BD7E68"/>
    <w:rsid w:val="00C41C09"/>
    <w:rsid w:val="00C828EB"/>
    <w:rsid w:val="00CE5EB3"/>
    <w:rsid w:val="00CF7742"/>
    <w:rsid w:val="00D004DC"/>
    <w:rsid w:val="00D06F64"/>
    <w:rsid w:val="00D106A4"/>
    <w:rsid w:val="00D32B85"/>
    <w:rsid w:val="00D32D5D"/>
    <w:rsid w:val="00D42011"/>
    <w:rsid w:val="00D81FDB"/>
    <w:rsid w:val="00DC7477"/>
    <w:rsid w:val="00DE332F"/>
    <w:rsid w:val="00E410CA"/>
    <w:rsid w:val="00E57E2C"/>
    <w:rsid w:val="00E664AD"/>
    <w:rsid w:val="00EB71EC"/>
    <w:rsid w:val="00EE2A98"/>
    <w:rsid w:val="00EF091C"/>
    <w:rsid w:val="00EF1259"/>
    <w:rsid w:val="00F04033"/>
    <w:rsid w:val="00F35242"/>
    <w:rsid w:val="00F842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A78B0"/>
  <w15:chartTrackingRefBased/>
  <w15:docId w15:val="{85BB0711-BA68-4DA2-A74D-5C68854D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7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6C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6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7151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477"/>
    <w:pPr>
      <w:ind w:left="720"/>
      <w:contextualSpacing/>
    </w:pPr>
  </w:style>
  <w:style w:type="table" w:styleId="TableGrid">
    <w:name w:val="Table Grid"/>
    <w:basedOn w:val="TableNormal"/>
    <w:uiPriority w:val="39"/>
    <w:rsid w:val="00DC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05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27E"/>
    <w:rPr>
      <w:sz w:val="20"/>
      <w:szCs w:val="20"/>
    </w:rPr>
  </w:style>
  <w:style w:type="character" w:styleId="FootnoteReference">
    <w:name w:val="footnote reference"/>
    <w:basedOn w:val="DefaultParagraphFont"/>
    <w:uiPriority w:val="99"/>
    <w:semiHidden/>
    <w:unhideWhenUsed/>
    <w:rsid w:val="0090527E"/>
    <w:rPr>
      <w:vertAlign w:val="superscript"/>
    </w:rPr>
  </w:style>
  <w:style w:type="character" w:customStyle="1" w:styleId="Heading2Char">
    <w:name w:val="Heading 2 Char"/>
    <w:basedOn w:val="DefaultParagraphFont"/>
    <w:link w:val="Heading2"/>
    <w:uiPriority w:val="9"/>
    <w:rsid w:val="00AC6C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6C6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C679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7151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117">
      <w:bodyDiv w:val="1"/>
      <w:marLeft w:val="0"/>
      <w:marRight w:val="0"/>
      <w:marTop w:val="0"/>
      <w:marBottom w:val="0"/>
      <w:divBdr>
        <w:top w:val="none" w:sz="0" w:space="0" w:color="auto"/>
        <w:left w:val="none" w:sz="0" w:space="0" w:color="auto"/>
        <w:bottom w:val="none" w:sz="0" w:space="0" w:color="auto"/>
        <w:right w:val="none" w:sz="0" w:space="0" w:color="auto"/>
      </w:divBdr>
    </w:div>
    <w:div w:id="3773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APP\Faelles\2%20Files%20permanent\Staff\PRIVATE\DHC\Norbarag\Norbarag%202018\Results%20for%202017.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i="0" u="none" strike="noStrike" baseline="0">
                <a:effectLst/>
              </a:rPr>
              <a:t>λ-cyhalothrin </a:t>
            </a:r>
            <a:r>
              <a:rPr lang="en-US" sz="1600" b="1"/>
              <a:t>monitoring </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'Pollen beetles'!$P$7</c:f>
              <c:strCache>
                <c:ptCount val="1"/>
                <c:pt idx="0">
                  <c:v>Highly susceptible</c:v>
                </c:pt>
              </c:strCache>
            </c:strRef>
          </c:tx>
          <c:spPr>
            <a:solidFill>
              <a:srgbClr val="00B050"/>
            </a:solidFill>
            <a:ln>
              <a:noFill/>
            </a:ln>
            <a:effectLst/>
          </c:spPr>
          <c:invertIfNegative val="0"/>
          <c:cat>
            <c:strRef>
              <c:f>'Pollen beetles'!$N$8:$N$14</c:f>
              <c:strCache>
                <c:ptCount val="7"/>
                <c:pt idx="0">
                  <c:v>Norway (N=12)</c:v>
                </c:pt>
                <c:pt idx="1">
                  <c:v>Finland (N=2)</c:v>
                </c:pt>
                <c:pt idx="2">
                  <c:v>Sweden (N=22)</c:v>
                </c:pt>
                <c:pt idx="3">
                  <c:v>Denmark (N=9)</c:v>
                </c:pt>
                <c:pt idx="4">
                  <c:v>Latvia (N=4)</c:v>
                </c:pt>
                <c:pt idx="5">
                  <c:v>Estonia (N=2)</c:v>
                </c:pt>
                <c:pt idx="6">
                  <c:v>Lithuania (N=6)</c:v>
                </c:pt>
              </c:strCache>
            </c:strRef>
          </c:cat>
          <c:val>
            <c:numRef>
              <c:f>'Pollen beetles'!$P$8:$P$14</c:f>
              <c:numCache>
                <c:formatCode>General</c:formatCode>
                <c:ptCount val="7"/>
                <c:pt idx="0">
                  <c:v>0</c:v>
                </c:pt>
                <c:pt idx="1">
                  <c:v>0</c:v>
                </c:pt>
                <c:pt idx="2" formatCode="0.0">
                  <c:v>4.5454545454545459</c:v>
                </c:pt>
                <c:pt idx="3">
                  <c:v>0</c:v>
                </c:pt>
                <c:pt idx="4">
                  <c:v>0</c:v>
                </c:pt>
                <c:pt idx="5">
                  <c:v>0</c:v>
                </c:pt>
                <c:pt idx="6">
                  <c:v>0</c:v>
                </c:pt>
              </c:numCache>
            </c:numRef>
          </c:val>
          <c:extLst>
            <c:ext xmlns:c16="http://schemas.microsoft.com/office/drawing/2014/chart" uri="{C3380CC4-5D6E-409C-BE32-E72D297353CC}">
              <c16:uniqueId val="{00000000-3359-40F8-B535-B51EA7A15F91}"/>
            </c:ext>
          </c:extLst>
        </c:ser>
        <c:ser>
          <c:idx val="1"/>
          <c:order val="1"/>
          <c:tx>
            <c:strRef>
              <c:f>'Pollen beetles'!$Q$7</c:f>
              <c:strCache>
                <c:ptCount val="1"/>
                <c:pt idx="0">
                  <c:v>Susceptible </c:v>
                </c:pt>
              </c:strCache>
            </c:strRef>
          </c:tx>
          <c:spPr>
            <a:solidFill>
              <a:srgbClr val="92D050"/>
            </a:solidFill>
            <a:ln>
              <a:noFill/>
            </a:ln>
            <a:effectLst/>
          </c:spPr>
          <c:invertIfNegative val="0"/>
          <c:cat>
            <c:strRef>
              <c:f>'Pollen beetles'!$N$8:$N$14</c:f>
              <c:strCache>
                <c:ptCount val="7"/>
                <c:pt idx="0">
                  <c:v>Norway (N=12)</c:v>
                </c:pt>
                <c:pt idx="1">
                  <c:v>Finland (N=2)</c:v>
                </c:pt>
                <c:pt idx="2">
                  <c:v>Sweden (N=22)</c:v>
                </c:pt>
                <c:pt idx="3">
                  <c:v>Denmark (N=9)</c:v>
                </c:pt>
                <c:pt idx="4">
                  <c:v>Latvia (N=4)</c:v>
                </c:pt>
                <c:pt idx="5">
                  <c:v>Estonia (N=2)</c:v>
                </c:pt>
                <c:pt idx="6">
                  <c:v>Lithuania (N=6)</c:v>
                </c:pt>
              </c:strCache>
            </c:strRef>
          </c:cat>
          <c:val>
            <c:numRef>
              <c:f>'Pollen beetles'!$Q$8:$Q$14</c:f>
              <c:numCache>
                <c:formatCode>General</c:formatCode>
                <c:ptCount val="7"/>
                <c:pt idx="0">
                  <c:v>0</c:v>
                </c:pt>
                <c:pt idx="1">
                  <c:v>0</c:v>
                </c:pt>
                <c:pt idx="2" formatCode="0.0">
                  <c:v>0</c:v>
                </c:pt>
                <c:pt idx="3">
                  <c:v>0</c:v>
                </c:pt>
                <c:pt idx="4">
                  <c:v>0</c:v>
                </c:pt>
                <c:pt idx="5">
                  <c:v>0</c:v>
                </c:pt>
                <c:pt idx="6">
                  <c:v>0</c:v>
                </c:pt>
              </c:numCache>
            </c:numRef>
          </c:val>
          <c:extLst>
            <c:ext xmlns:c16="http://schemas.microsoft.com/office/drawing/2014/chart" uri="{C3380CC4-5D6E-409C-BE32-E72D297353CC}">
              <c16:uniqueId val="{00000001-3359-40F8-B535-B51EA7A15F91}"/>
            </c:ext>
          </c:extLst>
        </c:ser>
        <c:ser>
          <c:idx val="2"/>
          <c:order val="2"/>
          <c:tx>
            <c:strRef>
              <c:f>'Pollen beetles'!$R$7</c:f>
              <c:strCache>
                <c:ptCount val="1"/>
                <c:pt idx="0">
                  <c:v>Moderately resistant</c:v>
                </c:pt>
              </c:strCache>
            </c:strRef>
          </c:tx>
          <c:spPr>
            <a:solidFill>
              <a:srgbClr val="FFFF00"/>
            </a:solidFill>
            <a:ln>
              <a:noFill/>
            </a:ln>
            <a:effectLst/>
          </c:spPr>
          <c:invertIfNegative val="0"/>
          <c:cat>
            <c:strRef>
              <c:f>'Pollen beetles'!$N$8:$N$14</c:f>
              <c:strCache>
                <c:ptCount val="7"/>
                <c:pt idx="0">
                  <c:v>Norway (N=12)</c:v>
                </c:pt>
                <c:pt idx="1">
                  <c:v>Finland (N=2)</c:v>
                </c:pt>
                <c:pt idx="2">
                  <c:v>Sweden (N=22)</c:v>
                </c:pt>
                <c:pt idx="3">
                  <c:v>Denmark (N=9)</c:v>
                </c:pt>
                <c:pt idx="4">
                  <c:v>Latvia (N=4)</c:v>
                </c:pt>
                <c:pt idx="5">
                  <c:v>Estonia (N=2)</c:v>
                </c:pt>
                <c:pt idx="6">
                  <c:v>Lithuania (N=6)</c:v>
                </c:pt>
              </c:strCache>
            </c:strRef>
          </c:cat>
          <c:val>
            <c:numRef>
              <c:f>'Pollen beetles'!$R$8:$R$14</c:f>
              <c:numCache>
                <c:formatCode>0.0</c:formatCode>
                <c:ptCount val="7"/>
                <c:pt idx="0">
                  <c:v>41.666666666666671</c:v>
                </c:pt>
                <c:pt idx="1">
                  <c:v>0</c:v>
                </c:pt>
                <c:pt idx="2">
                  <c:v>31.818181818181817</c:v>
                </c:pt>
                <c:pt idx="3">
                  <c:v>22.222222222222221</c:v>
                </c:pt>
                <c:pt idx="4">
                  <c:v>0</c:v>
                </c:pt>
                <c:pt idx="5">
                  <c:v>0</c:v>
                </c:pt>
                <c:pt idx="6">
                  <c:v>16.666666666666664</c:v>
                </c:pt>
              </c:numCache>
            </c:numRef>
          </c:val>
          <c:extLst>
            <c:ext xmlns:c16="http://schemas.microsoft.com/office/drawing/2014/chart" uri="{C3380CC4-5D6E-409C-BE32-E72D297353CC}">
              <c16:uniqueId val="{00000002-3359-40F8-B535-B51EA7A15F91}"/>
            </c:ext>
          </c:extLst>
        </c:ser>
        <c:ser>
          <c:idx val="3"/>
          <c:order val="3"/>
          <c:tx>
            <c:strRef>
              <c:f>'Pollen beetles'!$S$7</c:f>
              <c:strCache>
                <c:ptCount val="1"/>
                <c:pt idx="0">
                  <c:v>Resistant</c:v>
                </c:pt>
              </c:strCache>
            </c:strRef>
          </c:tx>
          <c:spPr>
            <a:solidFill>
              <a:srgbClr val="FFC000"/>
            </a:solidFill>
            <a:ln>
              <a:noFill/>
            </a:ln>
            <a:effectLst/>
          </c:spPr>
          <c:invertIfNegative val="0"/>
          <c:cat>
            <c:strRef>
              <c:f>'Pollen beetles'!$N$8:$N$14</c:f>
              <c:strCache>
                <c:ptCount val="7"/>
                <c:pt idx="0">
                  <c:v>Norway (N=12)</c:v>
                </c:pt>
                <c:pt idx="1">
                  <c:v>Finland (N=2)</c:v>
                </c:pt>
                <c:pt idx="2">
                  <c:v>Sweden (N=22)</c:v>
                </c:pt>
                <c:pt idx="3">
                  <c:v>Denmark (N=9)</c:v>
                </c:pt>
                <c:pt idx="4">
                  <c:v>Latvia (N=4)</c:v>
                </c:pt>
                <c:pt idx="5">
                  <c:v>Estonia (N=2)</c:v>
                </c:pt>
                <c:pt idx="6">
                  <c:v>Lithuania (N=6)</c:v>
                </c:pt>
              </c:strCache>
            </c:strRef>
          </c:cat>
          <c:val>
            <c:numRef>
              <c:f>'Pollen beetles'!$S$8:$S$14</c:f>
              <c:numCache>
                <c:formatCode>0.0</c:formatCode>
                <c:ptCount val="7"/>
                <c:pt idx="0">
                  <c:v>58.333333333333336</c:v>
                </c:pt>
                <c:pt idx="1">
                  <c:v>100</c:v>
                </c:pt>
                <c:pt idx="2">
                  <c:v>54.54545454545454</c:v>
                </c:pt>
                <c:pt idx="3">
                  <c:v>44.444444444444443</c:v>
                </c:pt>
                <c:pt idx="4">
                  <c:v>100</c:v>
                </c:pt>
                <c:pt idx="5">
                  <c:v>50</c:v>
                </c:pt>
                <c:pt idx="6">
                  <c:v>66.666666666666657</c:v>
                </c:pt>
              </c:numCache>
            </c:numRef>
          </c:val>
          <c:extLst>
            <c:ext xmlns:c16="http://schemas.microsoft.com/office/drawing/2014/chart" uri="{C3380CC4-5D6E-409C-BE32-E72D297353CC}">
              <c16:uniqueId val="{00000003-3359-40F8-B535-B51EA7A15F91}"/>
            </c:ext>
          </c:extLst>
        </c:ser>
        <c:ser>
          <c:idx val="4"/>
          <c:order val="4"/>
          <c:tx>
            <c:strRef>
              <c:f>'Pollen beetles'!$T$7</c:f>
              <c:strCache>
                <c:ptCount val="1"/>
                <c:pt idx="0">
                  <c:v>Highly resistant</c:v>
                </c:pt>
              </c:strCache>
            </c:strRef>
          </c:tx>
          <c:spPr>
            <a:solidFill>
              <a:srgbClr val="FF0000"/>
            </a:solidFill>
            <a:ln>
              <a:noFill/>
            </a:ln>
            <a:effectLst/>
          </c:spPr>
          <c:invertIfNegative val="0"/>
          <c:cat>
            <c:strRef>
              <c:f>'Pollen beetles'!$N$8:$N$14</c:f>
              <c:strCache>
                <c:ptCount val="7"/>
                <c:pt idx="0">
                  <c:v>Norway (N=12)</c:v>
                </c:pt>
                <c:pt idx="1">
                  <c:v>Finland (N=2)</c:v>
                </c:pt>
                <c:pt idx="2">
                  <c:v>Sweden (N=22)</c:v>
                </c:pt>
                <c:pt idx="3">
                  <c:v>Denmark (N=9)</c:v>
                </c:pt>
                <c:pt idx="4">
                  <c:v>Latvia (N=4)</c:v>
                </c:pt>
                <c:pt idx="5">
                  <c:v>Estonia (N=2)</c:v>
                </c:pt>
                <c:pt idx="6">
                  <c:v>Lithuania (N=6)</c:v>
                </c:pt>
              </c:strCache>
            </c:strRef>
          </c:cat>
          <c:val>
            <c:numRef>
              <c:f>'Pollen beetles'!$T$8:$T$14</c:f>
              <c:numCache>
                <c:formatCode>0.0</c:formatCode>
                <c:ptCount val="7"/>
                <c:pt idx="0">
                  <c:v>0</c:v>
                </c:pt>
                <c:pt idx="1">
                  <c:v>0</c:v>
                </c:pt>
                <c:pt idx="2">
                  <c:v>9.0909090909090917</c:v>
                </c:pt>
                <c:pt idx="3">
                  <c:v>33.333333333333329</c:v>
                </c:pt>
                <c:pt idx="4">
                  <c:v>0</c:v>
                </c:pt>
                <c:pt idx="5">
                  <c:v>50</c:v>
                </c:pt>
                <c:pt idx="6">
                  <c:v>33.333333333333329</c:v>
                </c:pt>
              </c:numCache>
            </c:numRef>
          </c:val>
          <c:extLst>
            <c:ext xmlns:c16="http://schemas.microsoft.com/office/drawing/2014/chart" uri="{C3380CC4-5D6E-409C-BE32-E72D297353CC}">
              <c16:uniqueId val="{00000004-3359-40F8-B535-B51EA7A15F91}"/>
            </c:ext>
          </c:extLst>
        </c:ser>
        <c:dLbls>
          <c:showLegendKey val="0"/>
          <c:showVal val="0"/>
          <c:showCatName val="0"/>
          <c:showSerName val="0"/>
          <c:showPercent val="0"/>
          <c:showBubbleSize val="0"/>
        </c:dLbls>
        <c:gapWidth val="75"/>
        <c:overlap val="100"/>
        <c:axId val="236848927"/>
        <c:axId val="236842687"/>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i="0" u="none" strike="noStrike" baseline="0">
                <a:effectLst/>
              </a:rPr>
              <a:t>τ-fluvinate </a:t>
            </a:r>
            <a:r>
              <a:rPr lang="en-US" sz="1600" b="1"/>
              <a:t>monitoring </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1"/>
          <c:order val="1"/>
          <c:tx>
            <c:strRef>
              <c:f>'Pollen beetles'!$P$17</c:f>
              <c:strCache>
                <c:ptCount val="1"/>
                <c:pt idx="0">
                  <c:v>Highly susceptible</c:v>
                </c:pt>
              </c:strCache>
            </c:strRef>
          </c:tx>
          <c:spPr>
            <a:solidFill>
              <a:srgbClr val="00B050"/>
            </a:solidFill>
            <a:ln>
              <a:noFill/>
            </a:ln>
            <a:effectLst/>
          </c:spPr>
          <c:invertIfNegative val="0"/>
          <c:cat>
            <c:strRef>
              <c:f>'Pollen beetles'!$N$18:$N$23</c:f>
              <c:strCache>
                <c:ptCount val="6"/>
                <c:pt idx="0">
                  <c:v>Norway (N=1)</c:v>
                </c:pt>
                <c:pt idx="1">
                  <c:v>Sweden (N=8)</c:v>
                </c:pt>
                <c:pt idx="2">
                  <c:v>Denmark (N=9)</c:v>
                </c:pt>
                <c:pt idx="3">
                  <c:v>Latvia (N=4)</c:v>
                </c:pt>
                <c:pt idx="4">
                  <c:v>Estonia (N=2)</c:v>
                </c:pt>
                <c:pt idx="5">
                  <c:v>Lithuania (N=6)</c:v>
                </c:pt>
              </c:strCache>
            </c:strRef>
          </c:cat>
          <c:val>
            <c:numRef>
              <c:f>'Pollen beetles'!$P$18:$P$23</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DAE4-42ED-9F60-74C5E904F65F}"/>
            </c:ext>
          </c:extLst>
        </c:ser>
        <c:ser>
          <c:idx val="2"/>
          <c:order val="2"/>
          <c:tx>
            <c:strRef>
              <c:f>'Pollen beetles'!$Q$17</c:f>
              <c:strCache>
                <c:ptCount val="1"/>
                <c:pt idx="0">
                  <c:v>Susceptible </c:v>
                </c:pt>
              </c:strCache>
            </c:strRef>
          </c:tx>
          <c:spPr>
            <a:solidFill>
              <a:srgbClr val="92D050"/>
            </a:solidFill>
            <a:ln>
              <a:noFill/>
            </a:ln>
            <a:effectLst/>
          </c:spPr>
          <c:invertIfNegative val="0"/>
          <c:cat>
            <c:strRef>
              <c:f>'Pollen beetles'!$N$18:$N$23</c:f>
              <c:strCache>
                <c:ptCount val="6"/>
                <c:pt idx="0">
                  <c:v>Norway (N=1)</c:v>
                </c:pt>
                <c:pt idx="1">
                  <c:v>Sweden (N=8)</c:v>
                </c:pt>
                <c:pt idx="2">
                  <c:v>Denmark (N=9)</c:v>
                </c:pt>
                <c:pt idx="3">
                  <c:v>Latvia (N=4)</c:v>
                </c:pt>
                <c:pt idx="4">
                  <c:v>Estonia (N=2)</c:v>
                </c:pt>
                <c:pt idx="5">
                  <c:v>Lithuania (N=6)</c:v>
                </c:pt>
              </c:strCache>
            </c:strRef>
          </c:cat>
          <c:val>
            <c:numRef>
              <c:f>'Pollen beetles'!$Q$18:$Q$23</c:f>
              <c:numCache>
                <c:formatCode>0.0</c:formatCode>
                <c:ptCount val="6"/>
                <c:pt idx="0">
                  <c:v>0</c:v>
                </c:pt>
                <c:pt idx="1">
                  <c:v>25</c:v>
                </c:pt>
                <c:pt idx="2">
                  <c:v>22.222222222222221</c:v>
                </c:pt>
                <c:pt idx="3">
                  <c:v>25</c:v>
                </c:pt>
                <c:pt idx="4">
                  <c:v>0</c:v>
                </c:pt>
                <c:pt idx="5">
                  <c:v>83.333333333333343</c:v>
                </c:pt>
              </c:numCache>
            </c:numRef>
          </c:val>
          <c:extLst>
            <c:ext xmlns:c16="http://schemas.microsoft.com/office/drawing/2014/chart" uri="{C3380CC4-5D6E-409C-BE32-E72D297353CC}">
              <c16:uniqueId val="{00000001-DAE4-42ED-9F60-74C5E904F65F}"/>
            </c:ext>
          </c:extLst>
        </c:ser>
        <c:ser>
          <c:idx val="3"/>
          <c:order val="3"/>
          <c:tx>
            <c:strRef>
              <c:f>'Pollen beetles'!$R$17</c:f>
              <c:strCache>
                <c:ptCount val="1"/>
                <c:pt idx="0">
                  <c:v>Moderately resistant</c:v>
                </c:pt>
              </c:strCache>
            </c:strRef>
          </c:tx>
          <c:spPr>
            <a:solidFill>
              <a:srgbClr val="FFFF00"/>
            </a:solidFill>
            <a:ln>
              <a:noFill/>
            </a:ln>
            <a:effectLst/>
          </c:spPr>
          <c:invertIfNegative val="0"/>
          <c:cat>
            <c:strRef>
              <c:f>'Pollen beetles'!$N$18:$N$23</c:f>
              <c:strCache>
                <c:ptCount val="6"/>
                <c:pt idx="0">
                  <c:v>Norway (N=1)</c:v>
                </c:pt>
                <c:pt idx="1">
                  <c:v>Sweden (N=8)</c:v>
                </c:pt>
                <c:pt idx="2">
                  <c:v>Denmark (N=9)</c:v>
                </c:pt>
                <c:pt idx="3">
                  <c:v>Latvia (N=4)</c:v>
                </c:pt>
                <c:pt idx="4">
                  <c:v>Estonia (N=2)</c:v>
                </c:pt>
                <c:pt idx="5">
                  <c:v>Lithuania (N=6)</c:v>
                </c:pt>
              </c:strCache>
            </c:strRef>
          </c:cat>
          <c:val>
            <c:numRef>
              <c:f>'Pollen beetles'!$R$18:$R$23</c:f>
              <c:numCache>
                <c:formatCode>0.0</c:formatCode>
                <c:ptCount val="6"/>
                <c:pt idx="0">
                  <c:v>100</c:v>
                </c:pt>
                <c:pt idx="1">
                  <c:v>62.5</c:v>
                </c:pt>
                <c:pt idx="2">
                  <c:v>55.555555555555557</c:v>
                </c:pt>
                <c:pt idx="3">
                  <c:v>50</c:v>
                </c:pt>
                <c:pt idx="4">
                  <c:v>100</c:v>
                </c:pt>
                <c:pt idx="5">
                  <c:v>16.666666666666664</c:v>
                </c:pt>
              </c:numCache>
            </c:numRef>
          </c:val>
          <c:extLst>
            <c:ext xmlns:c16="http://schemas.microsoft.com/office/drawing/2014/chart" uri="{C3380CC4-5D6E-409C-BE32-E72D297353CC}">
              <c16:uniqueId val="{00000002-DAE4-42ED-9F60-74C5E904F65F}"/>
            </c:ext>
          </c:extLst>
        </c:ser>
        <c:ser>
          <c:idx val="4"/>
          <c:order val="4"/>
          <c:tx>
            <c:strRef>
              <c:f>'Pollen beetles'!$S$17</c:f>
              <c:strCache>
                <c:ptCount val="1"/>
                <c:pt idx="0">
                  <c:v>Resistant</c:v>
                </c:pt>
              </c:strCache>
            </c:strRef>
          </c:tx>
          <c:spPr>
            <a:solidFill>
              <a:srgbClr val="FFC000"/>
            </a:solidFill>
            <a:ln>
              <a:noFill/>
            </a:ln>
            <a:effectLst/>
          </c:spPr>
          <c:invertIfNegative val="0"/>
          <c:cat>
            <c:strRef>
              <c:f>'Pollen beetles'!$N$18:$N$23</c:f>
              <c:strCache>
                <c:ptCount val="6"/>
                <c:pt idx="0">
                  <c:v>Norway (N=1)</c:v>
                </c:pt>
                <c:pt idx="1">
                  <c:v>Sweden (N=8)</c:v>
                </c:pt>
                <c:pt idx="2">
                  <c:v>Denmark (N=9)</c:v>
                </c:pt>
                <c:pt idx="3">
                  <c:v>Latvia (N=4)</c:v>
                </c:pt>
                <c:pt idx="4">
                  <c:v>Estonia (N=2)</c:v>
                </c:pt>
                <c:pt idx="5">
                  <c:v>Lithuania (N=6)</c:v>
                </c:pt>
              </c:strCache>
            </c:strRef>
          </c:cat>
          <c:val>
            <c:numRef>
              <c:f>'Pollen beetles'!$S$18:$S$23</c:f>
              <c:numCache>
                <c:formatCode>0.0</c:formatCode>
                <c:ptCount val="6"/>
                <c:pt idx="0">
                  <c:v>0</c:v>
                </c:pt>
                <c:pt idx="1">
                  <c:v>12.5</c:v>
                </c:pt>
                <c:pt idx="2">
                  <c:v>22.222222222222221</c:v>
                </c:pt>
                <c:pt idx="3">
                  <c:v>25</c:v>
                </c:pt>
                <c:pt idx="4">
                  <c:v>0</c:v>
                </c:pt>
                <c:pt idx="5">
                  <c:v>0</c:v>
                </c:pt>
              </c:numCache>
            </c:numRef>
          </c:val>
          <c:extLst>
            <c:ext xmlns:c16="http://schemas.microsoft.com/office/drawing/2014/chart" uri="{C3380CC4-5D6E-409C-BE32-E72D297353CC}">
              <c16:uniqueId val="{00000003-DAE4-42ED-9F60-74C5E904F65F}"/>
            </c:ext>
          </c:extLst>
        </c:ser>
        <c:ser>
          <c:idx val="5"/>
          <c:order val="5"/>
          <c:tx>
            <c:strRef>
              <c:f>'Pollen beetles'!$T$17</c:f>
              <c:strCache>
                <c:ptCount val="1"/>
                <c:pt idx="0">
                  <c:v>Highly resistant</c:v>
                </c:pt>
              </c:strCache>
            </c:strRef>
          </c:tx>
          <c:spPr>
            <a:solidFill>
              <a:srgbClr val="FF0000"/>
            </a:solidFill>
            <a:ln>
              <a:noFill/>
            </a:ln>
            <a:effectLst/>
          </c:spPr>
          <c:invertIfNegative val="0"/>
          <c:cat>
            <c:strRef>
              <c:f>'Pollen beetles'!$N$18:$N$23</c:f>
              <c:strCache>
                <c:ptCount val="6"/>
                <c:pt idx="0">
                  <c:v>Norway (N=1)</c:v>
                </c:pt>
                <c:pt idx="1">
                  <c:v>Sweden (N=8)</c:v>
                </c:pt>
                <c:pt idx="2">
                  <c:v>Denmark (N=9)</c:v>
                </c:pt>
                <c:pt idx="3">
                  <c:v>Latvia (N=4)</c:v>
                </c:pt>
                <c:pt idx="4">
                  <c:v>Estonia (N=2)</c:v>
                </c:pt>
                <c:pt idx="5">
                  <c:v>Lithuania (N=6)</c:v>
                </c:pt>
              </c:strCache>
            </c:strRef>
          </c:cat>
          <c:val>
            <c:numRef>
              <c:f>'Pollen beetles'!$T$18:$T$23</c:f>
              <c:numCache>
                <c:formatCode>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DAE4-42ED-9F60-74C5E904F65F}"/>
            </c:ext>
          </c:extLst>
        </c:ser>
        <c:dLbls>
          <c:showLegendKey val="0"/>
          <c:showVal val="0"/>
          <c:showCatName val="0"/>
          <c:showSerName val="0"/>
          <c:showPercent val="0"/>
          <c:showBubbleSize val="0"/>
        </c:dLbls>
        <c:gapWidth val="75"/>
        <c:overlap val="100"/>
        <c:axId val="236848927"/>
        <c:axId val="236842687"/>
        <c:extLst>
          <c:ext xmlns:c15="http://schemas.microsoft.com/office/drawing/2012/chart" uri="{02D57815-91ED-43cb-92C2-25804820EDAC}">
            <c15:filteredBarSeries>
              <c15:ser>
                <c:idx val="0"/>
                <c:order val="0"/>
                <c:tx>
                  <c:strRef>
                    <c:extLst>
                      <c:ext uri="{02D57815-91ED-43cb-92C2-25804820EDAC}">
                        <c15:formulaRef>
                          <c15:sqref>'Pollen beetles'!$O$17</c15:sqref>
                        </c15:formulaRef>
                      </c:ext>
                    </c:extLst>
                    <c:strCache>
                      <c:ptCount val="1"/>
                      <c:pt idx="0">
                        <c:v>no of pop</c:v>
                      </c:pt>
                    </c:strCache>
                  </c:strRef>
                </c:tx>
                <c:spPr>
                  <a:solidFill>
                    <a:schemeClr val="accent1"/>
                  </a:solidFill>
                  <a:ln>
                    <a:noFill/>
                  </a:ln>
                  <a:effectLst/>
                </c:spPr>
                <c:invertIfNegative val="0"/>
                <c:cat>
                  <c:strRef>
                    <c:extLst>
                      <c:ext uri="{02D57815-91ED-43cb-92C2-25804820EDAC}">
                        <c15:formulaRef>
                          <c15:sqref>'Pollen beetles'!$N$18:$N$23</c15:sqref>
                        </c15:formulaRef>
                      </c:ext>
                    </c:extLst>
                    <c:strCache>
                      <c:ptCount val="6"/>
                      <c:pt idx="0">
                        <c:v>Norway (N=1)</c:v>
                      </c:pt>
                      <c:pt idx="1">
                        <c:v>Sweden (N=8)</c:v>
                      </c:pt>
                      <c:pt idx="2">
                        <c:v>Denmark (N=9)</c:v>
                      </c:pt>
                      <c:pt idx="3">
                        <c:v>Latvia (N=4)</c:v>
                      </c:pt>
                      <c:pt idx="4">
                        <c:v>Estonia (N=2)</c:v>
                      </c:pt>
                      <c:pt idx="5">
                        <c:v>Lithuania (N=6)</c:v>
                      </c:pt>
                    </c:strCache>
                  </c:strRef>
                </c:cat>
                <c:val>
                  <c:numRef>
                    <c:extLst>
                      <c:ext uri="{02D57815-91ED-43cb-92C2-25804820EDAC}">
                        <c15:formulaRef>
                          <c15:sqref>'Pollen beetles'!$O$18:$O$23</c15:sqref>
                        </c15:formulaRef>
                      </c:ext>
                    </c:extLst>
                    <c:numCache>
                      <c:formatCode>General</c:formatCode>
                      <c:ptCount val="6"/>
                      <c:pt idx="0">
                        <c:v>1</c:v>
                      </c:pt>
                      <c:pt idx="1">
                        <c:v>8</c:v>
                      </c:pt>
                      <c:pt idx="2">
                        <c:v>9</c:v>
                      </c:pt>
                      <c:pt idx="3">
                        <c:v>4</c:v>
                      </c:pt>
                      <c:pt idx="4">
                        <c:v>2</c:v>
                      </c:pt>
                      <c:pt idx="5">
                        <c:v>6</c:v>
                      </c:pt>
                    </c:numCache>
                  </c:numRef>
                </c:val>
                <c:extLst>
                  <c:ext xmlns:c16="http://schemas.microsoft.com/office/drawing/2014/chart" uri="{C3380CC4-5D6E-409C-BE32-E72D297353CC}">
                    <c16:uniqueId val="{00000005-DAE4-42ED-9F60-74C5E904F65F}"/>
                  </c:ext>
                </c:extLst>
              </c15:ser>
            </c15:filteredBarSeries>
          </c:ext>
        </c:extLst>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i="0" u="none" strike="noStrike" baseline="0">
                <a:effectLst/>
              </a:rPr>
              <a:t>Thiacloprid </a:t>
            </a:r>
            <a:r>
              <a:rPr lang="en-US" sz="1600" b="1"/>
              <a:t>monitoring</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'Pollen beetles'!$P$27</c:f>
              <c:strCache>
                <c:ptCount val="1"/>
                <c:pt idx="0">
                  <c:v>95-100%</c:v>
                </c:pt>
              </c:strCache>
            </c:strRef>
          </c:tx>
          <c:spPr>
            <a:solidFill>
              <a:schemeClr val="accent1">
                <a:lumMod val="60000"/>
                <a:lumOff val="40000"/>
              </a:schemeClr>
            </a:solidFill>
            <a:ln>
              <a:noFill/>
            </a:ln>
            <a:effectLst/>
          </c:spPr>
          <c:invertIfNegative val="0"/>
          <c:cat>
            <c:strRef>
              <c:f>'Pollen beetles'!$N$28:$N$33</c:f>
              <c:strCache>
                <c:ptCount val="6"/>
                <c:pt idx="0">
                  <c:v>Norway (N=11)</c:v>
                </c:pt>
                <c:pt idx="1">
                  <c:v>Sweden (N=22)</c:v>
                </c:pt>
                <c:pt idx="2">
                  <c:v>Denmark (N=9)</c:v>
                </c:pt>
                <c:pt idx="3">
                  <c:v>Latvia (N=4)</c:v>
                </c:pt>
                <c:pt idx="4">
                  <c:v>Estonia (N=2)</c:v>
                </c:pt>
                <c:pt idx="5">
                  <c:v>Lithuania (N=6)</c:v>
                </c:pt>
              </c:strCache>
            </c:strRef>
          </c:cat>
          <c:val>
            <c:numRef>
              <c:f>'Pollen beetles'!$P$28:$P$33</c:f>
              <c:numCache>
                <c:formatCode>0.0</c:formatCode>
                <c:ptCount val="6"/>
                <c:pt idx="0" formatCode="General">
                  <c:v>0</c:v>
                </c:pt>
                <c:pt idx="1">
                  <c:v>72.727272727272734</c:v>
                </c:pt>
                <c:pt idx="2">
                  <c:v>88.888888888888886</c:v>
                </c:pt>
                <c:pt idx="3">
                  <c:v>0</c:v>
                </c:pt>
                <c:pt idx="4">
                  <c:v>0</c:v>
                </c:pt>
                <c:pt idx="5">
                  <c:v>0</c:v>
                </c:pt>
              </c:numCache>
            </c:numRef>
          </c:val>
          <c:extLst>
            <c:ext xmlns:c16="http://schemas.microsoft.com/office/drawing/2014/chart" uri="{C3380CC4-5D6E-409C-BE32-E72D297353CC}">
              <c16:uniqueId val="{00000000-AB08-4383-A67F-0FF1D27B1A11}"/>
            </c:ext>
          </c:extLst>
        </c:ser>
        <c:ser>
          <c:idx val="1"/>
          <c:order val="1"/>
          <c:tx>
            <c:strRef>
              <c:f>'Pollen beetles'!$Q$27</c:f>
              <c:strCache>
                <c:ptCount val="1"/>
                <c:pt idx="0">
                  <c:v>75-94.9%</c:v>
                </c:pt>
              </c:strCache>
            </c:strRef>
          </c:tx>
          <c:spPr>
            <a:solidFill>
              <a:schemeClr val="accent1">
                <a:lumMod val="75000"/>
              </a:schemeClr>
            </a:solidFill>
            <a:ln>
              <a:noFill/>
            </a:ln>
            <a:effectLst/>
          </c:spPr>
          <c:invertIfNegative val="0"/>
          <c:cat>
            <c:strRef>
              <c:f>'Pollen beetles'!$N$28:$N$33</c:f>
              <c:strCache>
                <c:ptCount val="6"/>
                <c:pt idx="0">
                  <c:v>Norway (N=11)</c:v>
                </c:pt>
                <c:pt idx="1">
                  <c:v>Sweden (N=22)</c:v>
                </c:pt>
                <c:pt idx="2">
                  <c:v>Denmark (N=9)</c:v>
                </c:pt>
                <c:pt idx="3">
                  <c:v>Latvia (N=4)</c:v>
                </c:pt>
                <c:pt idx="4">
                  <c:v>Estonia (N=2)</c:v>
                </c:pt>
                <c:pt idx="5">
                  <c:v>Lithuania (N=6)</c:v>
                </c:pt>
              </c:strCache>
            </c:strRef>
          </c:cat>
          <c:val>
            <c:numRef>
              <c:f>'Pollen beetles'!$Q$28:$Q$33</c:f>
              <c:numCache>
                <c:formatCode>0.0</c:formatCode>
                <c:ptCount val="6"/>
                <c:pt idx="0">
                  <c:v>45.454545454545453</c:v>
                </c:pt>
                <c:pt idx="1">
                  <c:v>27.27272727272727</c:v>
                </c:pt>
                <c:pt idx="2">
                  <c:v>11.111111111111111</c:v>
                </c:pt>
                <c:pt idx="3">
                  <c:v>75</c:v>
                </c:pt>
                <c:pt idx="4">
                  <c:v>0</c:v>
                </c:pt>
                <c:pt idx="5">
                  <c:v>83.333333333333343</c:v>
                </c:pt>
              </c:numCache>
            </c:numRef>
          </c:val>
          <c:extLst>
            <c:ext xmlns:c16="http://schemas.microsoft.com/office/drawing/2014/chart" uri="{C3380CC4-5D6E-409C-BE32-E72D297353CC}">
              <c16:uniqueId val="{00000001-AB08-4383-A67F-0FF1D27B1A11}"/>
            </c:ext>
          </c:extLst>
        </c:ser>
        <c:ser>
          <c:idx val="2"/>
          <c:order val="2"/>
          <c:tx>
            <c:strRef>
              <c:f>'Pollen beetles'!$R$27</c:f>
              <c:strCache>
                <c:ptCount val="1"/>
                <c:pt idx="0">
                  <c:v>&lt;75%</c:v>
                </c:pt>
              </c:strCache>
            </c:strRef>
          </c:tx>
          <c:spPr>
            <a:solidFill>
              <a:schemeClr val="accent1">
                <a:lumMod val="50000"/>
              </a:schemeClr>
            </a:solidFill>
            <a:ln>
              <a:noFill/>
            </a:ln>
            <a:effectLst/>
          </c:spPr>
          <c:invertIfNegative val="0"/>
          <c:cat>
            <c:strRef>
              <c:f>'Pollen beetles'!$N$28:$N$33</c:f>
              <c:strCache>
                <c:ptCount val="6"/>
                <c:pt idx="0">
                  <c:v>Norway (N=11)</c:v>
                </c:pt>
                <c:pt idx="1">
                  <c:v>Sweden (N=22)</c:v>
                </c:pt>
                <c:pt idx="2">
                  <c:v>Denmark (N=9)</c:v>
                </c:pt>
                <c:pt idx="3">
                  <c:v>Latvia (N=4)</c:v>
                </c:pt>
                <c:pt idx="4">
                  <c:v>Estonia (N=2)</c:v>
                </c:pt>
                <c:pt idx="5">
                  <c:v>Lithuania (N=6)</c:v>
                </c:pt>
              </c:strCache>
            </c:strRef>
          </c:cat>
          <c:val>
            <c:numRef>
              <c:f>'Pollen beetles'!$R$28:$R$33</c:f>
              <c:numCache>
                <c:formatCode>0.0</c:formatCode>
                <c:ptCount val="6"/>
                <c:pt idx="0">
                  <c:v>54.54545454545454</c:v>
                </c:pt>
                <c:pt idx="1">
                  <c:v>0</c:v>
                </c:pt>
                <c:pt idx="2">
                  <c:v>0</c:v>
                </c:pt>
                <c:pt idx="3">
                  <c:v>25</c:v>
                </c:pt>
                <c:pt idx="4">
                  <c:v>100</c:v>
                </c:pt>
                <c:pt idx="5">
                  <c:v>16.666666666666664</c:v>
                </c:pt>
              </c:numCache>
            </c:numRef>
          </c:val>
          <c:extLst>
            <c:ext xmlns:c16="http://schemas.microsoft.com/office/drawing/2014/chart" uri="{C3380CC4-5D6E-409C-BE32-E72D297353CC}">
              <c16:uniqueId val="{00000002-AB08-4383-A67F-0FF1D27B1A11}"/>
            </c:ext>
          </c:extLst>
        </c:ser>
        <c:dLbls>
          <c:showLegendKey val="0"/>
          <c:showVal val="0"/>
          <c:showCatName val="0"/>
          <c:showSerName val="0"/>
          <c:showPercent val="0"/>
          <c:showBubbleSize val="0"/>
        </c:dLbls>
        <c:gapWidth val="75"/>
        <c:overlap val="100"/>
        <c:axId val="236848927"/>
        <c:axId val="236842687"/>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i="0" u="none" strike="noStrike" baseline="0">
                <a:effectLst/>
              </a:rPr>
              <a:t>Acetamiprid </a:t>
            </a:r>
            <a:r>
              <a:rPr lang="en-US" sz="1600" b="1"/>
              <a:t>monitoring </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'Pollen beetles'!$P$36</c:f>
              <c:strCache>
                <c:ptCount val="1"/>
                <c:pt idx="0">
                  <c:v>95-100%</c:v>
                </c:pt>
              </c:strCache>
            </c:strRef>
          </c:tx>
          <c:spPr>
            <a:solidFill>
              <a:schemeClr val="accent1">
                <a:lumMod val="60000"/>
                <a:lumOff val="40000"/>
              </a:schemeClr>
            </a:solidFill>
            <a:ln>
              <a:noFill/>
            </a:ln>
            <a:effectLst/>
          </c:spPr>
          <c:invertIfNegative val="0"/>
          <c:cat>
            <c:strRef>
              <c:extLst>
                <c:ext xmlns:c15="http://schemas.microsoft.com/office/drawing/2012/chart" uri="{02D57815-91ED-43cb-92C2-25804820EDAC}">
                  <c15:fullRef>
                    <c15:sqref>'Pollen beetles'!$N$37:$N$38</c15:sqref>
                  </c15:fullRef>
                </c:ext>
              </c:extLst>
              <c:f>'Pollen beetles'!$N$37:$N$38</c:f>
              <c:strCache>
                <c:ptCount val="2"/>
                <c:pt idx="0">
                  <c:v>Sweden (N=16)</c:v>
                </c:pt>
                <c:pt idx="1">
                  <c:v>Denmark (N=2)</c:v>
                </c:pt>
              </c:strCache>
            </c:strRef>
          </c:cat>
          <c:val>
            <c:numRef>
              <c:extLst>
                <c:ext xmlns:c15="http://schemas.microsoft.com/office/drawing/2012/chart" uri="{02D57815-91ED-43cb-92C2-25804820EDAC}">
                  <c15:fullRef>
                    <c15:sqref>'Pollen beetles'!$P$37:$P$39</c15:sqref>
                  </c15:fullRef>
                </c:ext>
              </c:extLst>
              <c:f>'Pollen beetles'!$P$37:$P$38</c:f>
              <c:numCache>
                <c:formatCode>0.0</c:formatCode>
                <c:ptCount val="2"/>
                <c:pt idx="0">
                  <c:v>93.75</c:v>
                </c:pt>
                <c:pt idx="1">
                  <c:v>50</c:v>
                </c:pt>
              </c:numCache>
            </c:numRef>
          </c:val>
          <c:extLst>
            <c:ext xmlns:c16="http://schemas.microsoft.com/office/drawing/2014/chart" uri="{C3380CC4-5D6E-409C-BE32-E72D297353CC}">
              <c16:uniqueId val="{00000000-BF38-4CC3-A928-5ED1279B47D1}"/>
            </c:ext>
          </c:extLst>
        </c:ser>
        <c:ser>
          <c:idx val="1"/>
          <c:order val="1"/>
          <c:tx>
            <c:strRef>
              <c:f>'Pollen beetles'!$Q$36</c:f>
              <c:strCache>
                <c:ptCount val="1"/>
                <c:pt idx="0">
                  <c:v>75-94.9%</c:v>
                </c:pt>
              </c:strCache>
            </c:strRef>
          </c:tx>
          <c:spPr>
            <a:solidFill>
              <a:schemeClr val="accent1">
                <a:lumMod val="75000"/>
              </a:schemeClr>
            </a:solidFill>
            <a:ln>
              <a:noFill/>
            </a:ln>
            <a:effectLst/>
          </c:spPr>
          <c:invertIfNegative val="0"/>
          <c:cat>
            <c:strRef>
              <c:extLst>
                <c:ext xmlns:c15="http://schemas.microsoft.com/office/drawing/2012/chart" uri="{02D57815-91ED-43cb-92C2-25804820EDAC}">
                  <c15:fullRef>
                    <c15:sqref>'Pollen beetles'!$N$37:$N$38</c15:sqref>
                  </c15:fullRef>
                </c:ext>
              </c:extLst>
              <c:f>'Pollen beetles'!$N$37:$N$38</c:f>
              <c:strCache>
                <c:ptCount val="2"/>
                <c:pt idx="0">
                  <c:v>Sweden (N=16)</c:v>
                </c:pt>
                <c:pt idx="1">
                  <c:v>Denmark (N=2)</c:v>
                </c:pt>
              </c:strCache>
            </c:strRef>
          </c:cat>
          <c:val>
            <c:numRef>
              <c:extLst>
                <c:ext xmlns:c15="http://schemas.microsoft.com/office/drawing/2012/chart" uri="{02D57815-91ED-43cb-92C2-25804820EDAC}">
                  <c15:fullRef>
                    <c15:sqref>'Pollen beetles'!$Q$37:$Q$38</c15:sqref>
                  </c15:fullRef>
                </c:ext>
              </c:extLst>
              <c:f>'Pollen beetles'!$Q$37:$Q$38</c:f>
              <c:numCache>
                <c:formatCode>0.0</c:formatCode>
                <c:ptCount val="2"/>
                <c:pt idx="0">
                  <c:v>6.25</c:v>
                </c:pt>
                <c:pt idx="1">
                  <c:v>50</c:v>
                </c:pt>
              </c:numCache>
            </c:numRef>
          </c:val>
          <c:extLst>
            <c:ext xmlns:c16="http://schemas.microsoft.com/office/drawing/2014/chart" uri="{C3380CC4-5D6E-409C-BE32-E72D297353CC}">
              <c16:uniqueId val="{00000001-BF38-4CC3-A928-5ED1279B47D1}"/>
            </c:ext>
          </c:extLst>
        </c:ser>
        <c:ser>
          <c:idx val="2"/>
          <c:order val="2"/>
          <c:tx>
            <c:strRef>
              <c:f>'Pollen beetles'!$R$36</c:f>
              <c:strCache>
                <c:ptCount val="1"/>
                <c:pt idx="0">
                  <c:v>&lt;75%</c:v>
                </c:pt>
              </c:strCache>
            </c:strRef>
          </c:tx>
          <c:spPr>
            <a:solidFill>
              <a:schemeClr val="accent1">
                <a:lumMod val="50000"/>
              </a:schemeClr>
            </a:solidFill>
            <a:ln>
              <a:noFill/>
            </a:ln>
            <a:effectLst/>
          </c:spPr>
          <c:invertIfNegative val="0"/>
          <c:cat>
            <c:strRef>
              <c:extLst>
                <c:ext xmlns:c15="http://schemas.microsoft.com/office/drawing/2012/chart" uri="{02D57815-91ED-43cb-92C2-25804820EDAC}">
                  <c15:fullRef>
                    <c15:sqref>'Pollen beetles'!$N$37:$N$38</c15:sqref>
                  </c15:fullRef>
                </c:ext>
              </c:extLst>
              <c:f>'Pollen beetles'!$N$37:$N$38</c:f>
              <c:strCache>
                <c:ptCount val="2"/>
                <c:pt idx="0">
                  <c:v>Sweden (N=16)</c:v>
                </c:pt>
                <c:pt idx="1">
                  <c:v>Denmark (N=2)</c:v>
                </c:pt>
              </c:strCache>
            </c:strRef>
          </c:cat>
          <c:val>
            <c:numRef>
              <c:extLst>
                <c:ext xmlns:c15="http://schemas.microsoft.com/office/drawing/2012/chart" uri="{02D57815-91ED-43cb-92C2-25804820EDAC}">
                  <c15:fullRef>
                    <c15:sqref>'Pollen beetles'!$R$37:$R$39</c15:sqref>
                  </c15:fullRef>
                </c:ext>
              </c:extLst>
              <c:f>'Pollen beetles'!$R$37:$R$38</c:f>
              <c:numCache>
                <c:formatCode>0.0</c:formatCode>
                <c:ptCount val="2"/>
                <c:pt idx="0">
                  <c:v>0</c:v>
                </c:pt>
                <c:pt idx="1">
                  <c:v>0</c:v>
                </c:pt>
              </c:numCache>
            </c:numRef>
          </c:val>
          <c:extLst>
            <c:ext xmlns:c16="http://schemas.microsoft.com/office/drawing/2014/chart" uri="{C3380CC4-5D6E-409C-BE32-E72D297353CC}">
              <c16:uniqueId val="{00000002-BF38-4CC3-A928-5ED1279B47D1}"/>
            </c:ext>
          </c:extLst>
        </c:ser>
        <c:dLbls>
          <c:showLegendKey val="0"/>
          <c:showVal val="0"/>
          <c:showCatName val="0"/>
          <c:showSerName val="0"/>
          <c:showPercent val="0"/>
          <c:showBubbleSize val="0"/>
        </c:dLbls>
        <c:gapWidth val="75"/>
        <c:overlap val="100"/>
        <c:axId val="236848927"/>
        <c:axId val="236842687"/>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i="0" u="none" strike="noStrike" baseline="0">
                <a:effectLst/>
              </a:rPr>
              <a:t>Indoxocarb </a:t>
            </a:r>
            <a:r>
              <a:rPr lang="en-US" sz="1600" b="1"/>
              <a:t>monitoring </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'Pollen beetles'!$P$42:$P$43</c:f>
              <c:strCache>
                <c:ptCount val="2"/>
                <c:pt idx="1">
                  <c:v>90-100%</c:v>
                </c:pt>
              </c:strCache>
            </c:strRef>
          </c:tx>
          <c:spPr>
            <a:solidFill>
              <a:schemeClr val="accent1">
                <a:lumMod val="60000"/>
                <a:lumOff val="40000"/>
              </a:schemeClr>
            </a:solidFill>
            <a:ln>
              <a:noFill/>
            </a:ln>
            <a:effectLst/>
          </c:spPr>
          <c:invertIfNegative val="0"/>
          <c:cat>
            <c:strRef>
              <c:extLst>
                <c:ext xmlns:c15="http://schemas.microsoft.com/office/drawing/2012/chart" uri="{02D57815-91ED-43cb-92C2-25804820EDAC}">
                  <c15:fullRef>
                    <c15:sqref>'Pollen beetles'!$N$44:$N$45</c15:sqref>
                  </c15:fullRef>
                </c:ext>
              </c:extLst>
              <c:f>'Pollen beetles'!$N$44</c:f>
              <c:strCache>
                <c:ptCount val="1"/>
                <c:pt idx="0">
                  <c:v>Norway (N=9)</c:v>
                </c:pt>
              </c:strCache>
            </c:strRef>
          </c:cat>
          <c:val>
            <c:numRef>
              <c:extLst>
                <c:ext xmlns:c15="http://schemas.microsoft.com/office/drawing/2012/chart" uri="{02D57815-91ED-43cb-92C2-25804820EDAC}">
                  <c15:fullRef>
                    <c15:sqref>'Pollen beetles'!$P$44:$P$45</c15:sqref>
                  </c15:fullRef>
                </c:ext>
              </c:extLst>
              <c:f>'Pollen beetles'!$P$44</c:f>
              <c:numCache>
                <c:formatCode>General</c:formatCode>
                <c:ptCount val="1"/>
                <c:pt idx="0" formatCode="0.0">
                  <c:v>100</c:v>
                </c:pt>
              </c:numCache>
            </c:numRef>
          </c:val>
          <c:extLst>
            <c:ext xmlns:c16="http://schemas.microsoft.com/office/drawing/2014/chart" uri="{C3380CC4-5D6E-409C-BE32-E72D297353CC}">
              <c16:uniqueId val="{00000000-77B8-4429-A35E-292E127B385A}"/>
            </c:ext>
          </c:extLst>
        </c:ser>
        <c:ser>
          <c:idx val="1"/>
          <c:order val="1"/>
          <c:tx>
            <c:strRef>
              <c:f>'Pollen beetles'!$Q$42:$Q$43</c:f>
              <c:strCache>
                <c:ptCount val="2"/>
                <c:pt idx="1">
                  <c:v>&lt;90%</c:v>
                </c:pt>
              </c:strCache>
            </c:strRef>
          </c:tx>
          <c:spPr>
            <a:solidFill>
              <a:schemeClr val="accent1">
                <a:lumMod val="50000"/>
              </a:schemeClr>
            </a:solidFill>
            <a:ln>
              <a:noFill/>
            </a:ln>
            <a:effectLst/>
          </c:spPr>
          <c:invertIfNegative val="0"/>
          <c:cat>
            <c:strRef>
              <c:extLst>
                <c:ext xmlns:c15="http://schemas.microsoft.com/office/drawing/2012/chart" uri="{02D57815-91ED-43cb-92C2-25804820EDAC}">
                  <c15:fullRef>
                    <c15:sqref>'Pollen beetles'!$N$44:$N$45</c15:sqref>
                  </c15:fullRef>
                </c:ext>
              </c:extLst>
              <c:f>'Pollen beetles'!$N$44</c:f>
              <c:strCache>
                <c:ptCount val="1"/>
                <c:pt idx="0">
                  <c:v>Norway (N=9)</c:v>
                </c:pt>
              </c:strCache>
            </c:strRef>
          </c:cat>
          <c:val>
            <c:numRef>
              <c:extLst>
                <c:ext xmlns:c15="http://schemas.microsoft.com/office/drawing/2012/chart" uri="{02D57815-91ED-43cb-92C2-25804820EDAC}">
                  <c15:fullRef>
                    <c15:sqref>'Pollen beetles'!$Q$44:$Q$45</c15:sqref>
                  </c15:fullRef>
                </c:ext>
              </c:extLst>
              <c:f>'Pollen beetles'!$Q$44</c:f>
              <c:numCache>
                <c:formatCode>General</c:formatCode>
                <c:ptCount val="1"/>
                <c:pt idx="0" formatCode="0.0">
                  <c:v>0</c:v>
                </c:pt>
              </c:numCache>
            </c:numRef>
          </c:val>
          <c:extLst>
            <c:ext xmlns:c16="http://schemas.microsoft.com/office/drawing/2014/chart" uri="{C3380CC4-5D6E-409C-BE32-E72D297353CC}">
              <c16:uniqueId val="{00000001-77B8-4429-A35E-292E127B385A}"/>
            </c:ext>
          </c:extLst>
        </c:ser>
        <c:dLbls>
          <c:showLegendKey val="0"/>
          <c:showVal val="0"/>
          <c:showCatName val="0"/>
          <c:showSerName val="0"/>
          <c:showPercent val="0"/>
          <c:showBubbleSize val="0"/>
        </c:dLbls>
        <c:gapWidth val="75"/>
        <c:overlap val="100"/>
        <c:axId val="236848927"/>
        <c:axId val="236842687"/>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da-DK" sz="1600" b="1" i="0" u="none" strike="noStrike" baseline="0">
                <a:effectLst/>
              </a:rPr>
              <a:t>Pyrethroid </a:t>
            </a:r>
            <a:r>
              <a:rPr lang="en-US" sz="1600" b="1"/>
              <a:t>monitoring (Sweden) </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'C. obstrictus'!$T$7</c:f>
              <c:strCache>
                <c:ptCount val="1"/>
                <c:pt idx="0">
                  <c:v>Susceptible</c:v>
                </c:pt>
              </c:strCache>
            </c:strRef>
          </c:tx>
          <c:spPr>
            <a:solidFill>
              <a:srgbClr val="00B050"/>
            </a:solidFill>
            <a:ln>
              <a:noFill/>
            </a:ln>
            <a:effectLst/>
          </c:spPr>
          <c:invertIfNegative val="0"/>
          <c:cat>
            <c:strRef>
              <c:f>'C. obstrictus'!$S$8:$S$9</c:f>
              <c:strCache>
                <c:ptCount val="2"/>
                <c:pt idx="0">
                  <c:v>λ-cyhalothrin</c:v>
                </c:pt>
                <c:pt idx="1">
                  <c:v>τ-fluvalinate </c:v>
                </c:pt>
              </c:strCache>
            </c:strRef>
          </c:cat>
          <c:val>
            <c:numRef>
              <c:f>'C. obstrictus'!$T$8:$T$9</c:f>
              <c:numCache>
                <c:formatCode>General</c:formatCode>
                <c:ptCount val="2"/>
                <c:pt idx="0">
                  <c:v>100</c:v>
                </c:pt>
                <c:pt idx="1">
                  <c:v>66.7</c:v>
                </c:pt>
              </c:numCache>
            </c:numRef>
          </c:val>
          <c:extLst>
            <c:ext xmlns:c16="http://schemas.microsoft.com/office/drawing/2014/chart" uri="{C3380CC4-5D6E-409C-BE32-E72D297353CC}">
              <c16:uniqueId val="{00000000-8E8E-4CE4-B8B5-9BED8A42D899}"/>
            </c:ext>
          </c:extLst>
        </c:ser>
        <c:ser>
          <c:idx val="1"/>
          <c:order val="1"/>
          <c:tx>
            <c:strRef>
              <c:f>'C. obstrictus'!$U$7</c:f>
              <c:strCache>
                <c:ptCount val="1"/>
                <c:pt idx="0">
                  <c:v>Decreased susceptibility</c:v>
                </c:pt>
              </c:strCache>
            </c:strRef>
          </c:tx>
          <c:spPr>
            <a:solidFill>
              <a:srgbClr val="FFFF00"/>
            </a:solidFill>
            <a:ln>
              <a:noFill/>
            </a:ln>
            <a:effectLst/>
          </c:spPr>
          <c:invertIfNegative val="0"/>
          <c:cat>
            <c:strRef>
              <c:f>'C. obstrictus'!$S$8:$S$9</c:f>
              <c:strCache>
                <c:ptCount val="2"/>
                <c:pt idx="0">
                  <c:v>λ-cyhalothrin</c:v>
                </c:pt>
                <c:pt idx="1">
                  <c:v>τ-fluvalinate </c:v>
                </c:pt>
              </c:strCache>
            </c:strRef>
          </c:cat>
          <c:val>
            <c:numRef>
              <c:f>'C. obstrictus'!$U$8:$U$9</c:f>
              <c:numCache>
                <c:formatCode>General</c:formatCode>
                <c:ptCount val="2"/>
                <c:pt idx="0">
                  <c:v>0</c:v>
                </c:pt>
                <c:pt idx="1">
                  <c:v>33.299999999999997</c:v>
                </c:pt>
              </c:numCache>
            </c:numRef>
          </c:val>
          <c:extLst>
            <c:ext xmlns:c16="http://schemas.microsoft.com/office/drawing/2014/chart" uri="{C3380CC4-5D6E-409C-BE32-E72D297353CC}">
              <c16:uniqueId val="{00000001-8E8E-4CE4-B8B5-9BED8A42D899}"/>
            </c:ext>
          </c:extLst>
        </c:ser>
        <c:ser>
          <c:idx val="2"/>
          <c:order val="2"/>
          <c:tx>
            <c:strRef>
              <c:f>'C. obstrictus'!$V$7</c:f>
              <c:strCache>
                <c:ptCount val="1"/>
                <c:pt idx="0">
                  <c:v>Resistance suspected</c:v>
                </c:pt>
              </c:strCache>
            </c:strRef>
          </c:tx>
          <c:spPr>
            <a:solidFill>
              <a:srgbClr val="FF0000"/>
            </a:solidFill>
            <a:ln>
              <a:noFill/>
            </a:ln>
            <a:effectLst/>
          </c:spPr>
          <c:invertIfNegative val="0"/>
          <c:cat>
            <c:strRef>
              <c:f>'C. obstrictus'!$S$8:$S$9</c:f>
              <c:strCache>
                <c:ptCount val="2"/>
                <c:pt idx="0">
                  <c:v>λ-cyhalothrin</c:v>
                </c:pt>
                <c:pt idx="1">
                  <c:v>τ-fluvalinate </c:v>
                </c:pt>
              </c:strCache>
            </c:strRef>
          </c:cat>
          <c:val>
            <c:numRef>
              <c:f>'C. obstrictus'!$V$8:$V$9</c:f>
              <c:numCache>
                <c:formatCode>General</c:formatCode>
                <c:ptCount val="2"/>
                <c:pt idx="0">
                  <c:v>0</c:v>
                </c:pt>
                <c:pt idx="1">
                  <c:v>0</c:v>
                </c:pt>
              </c:numCache>
            </c:numRef>
          </c:val>
          <c:extLst>
            <c:ext xmlns:c16="http://schemas.microsoft.com/office/drawing/2014/chart" uri="{C3380CC4-5D6E-409C-BE32-E72D297353CC}">
              <c16:uniqueId val="{00000002-8E8E-4CE4-B8B5-9BED8A42D899}"/>
            </c:ext>
          </c:extLst>
        </c:ser>
        <c:dLbls>
          <c:showLegendKey val="0"/>
          <c:showVal val="0"/>
          <c:showCatName val="0"/>
          <c:showSerName val="0"/>
          <c:showPercent val="0"/>
          <c:showBubbleSize val="0"/>
        </c:dLbls>
        <c:gapWidth val="75"/>
        <c:overlap val="100"/>
        <c:axId val="236848927"/>
        <c:axId val="236842687"/>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600" b="1" i="0" u="none" strike="noStrike" baseline="0">
                <a:effectLst/>
              </a:rPr>
              <a:t>Thiacloprid </a:t>
            </a:r>
            <a:r>
              <a:rPr lang="en-US" sz="1600" b="1"/>
              <a:t>monitoring </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strRef>
              <c:f>'C. obstrictus'!$N$18</c:f>
              <c:strCache>
                <c:ptCount val="1"/>
                <c:pt idx="0">
                  <c:v>100%</c:v>
                </c:pt>
              </c:strCache>
            </c:strRef>
          </c:tx>
          <c:spPr>
            <a:solidFill>
              <a:srgbClr val="00B050"/>
            </a:solidFill>
            <a:ln>
              <a:noFill/>
            </a:ln>
            <a:effectLst/>
          </c:spPr>
          <c:invertIfNegative val="0"/>
          <c:cat>
            <c:strRef>
              <c:extLst>
                <c:ext xmlns:c15="http://schemas.microsoft.com/office/drawing/2012/chart" uri="{02D57815-91ED-43cb-92C2-25804820EDAC}">
                  <c15:fullRef>
                    <c15:sqref>'C. obstrictus'!$M$19:$M$20</c15:sqref>
                  </c15:fullRef>
                </c:ext>
              </c:extLst>
              <c:f>'C. obstrictus'!$M$19</c:f>
              <c:strCache>
                <c:ptCount val="1"/>
                <c:pt idx="0">
                  <c:v>Sweden (N=4)</c:v>
                </c:pt>
              </c:strCache>
            </c:strRef>
          </c:cat>
          <c:val>
            <c:numRef>
              <c:extLst>
                <c:ext xmlns:c15="http://schemas.microsoft.com/office/drawing/2012/chart" uri="{02D57815-91ED-43cb-92C2-25804820EDAC}">
                  <c15:fullRef>
                    <c15:sqref>'C. obstrictus'!$N$19:$N$20</c15:sqref>
                  </c15:fullRef>
                </c:ext>
              </c:extLst>
              <c:f>'C. obstrictus'!$N$19</c:f>
              <c:numCache>
                <c:formatCode>General</c:formatCode>
                <c:ptCount val="1"/>
                <c:pt idx="0">
                  <c:v>50</c:v>
                </c:pt>
              </c:numCache>
            </c:numRef>
          </c:val>
          <c:extLst>
            <c:ext xmlns:c16="http://schemas.microsoft.com/office/drawing/2014/chart" uri="{C3380CC4-5D6E-409C-BE32-E72D297353CC}">
              <c16:uniqueId val="{00000000-02CA-4970-BAFD-E9E54012CF61}"/>
            </c:ext>
          </c:extLst>
        </c:ser>
        <c:ser>
          <c:idx val="1"/>
          <c:order val="1"/>
          <c:tx>
            <c:strRef>
              <c:f>'C. obstrictus'!$O$18</c:f>
              <c:strCache>
                <c:ptCount val="1"/>
                <c:pt idx="0">
                  <c:v>90-99.9%</c:v>
                </c:pt>
              </c:strCache>
            </c:strRef>
          </c:tx>
          <c:spPr>
            <a:solidFill>
              <a:srgbClr val="FFFF00"/>
            </a:solidFill>
            <a:ln>
              <a:noFill/>
            </a:ln>
            <a:effectLst/>
          </c:spPr>
          <c:invertIfNegative val="0"/>
          <c:cat>
            <c:strRef>
              <c:extLst>
                <c:ext xmlns:c15="http://schemas.microsoft.com/office/drawing/2012/chart" uri="{02D57815-91ED-43cb-92C2-25804820EDAC}">
                  <c15:fullRef>
                    <c15:sqref>'C. obstrictus'!$M$19:$M$20</c15:sqref>
                  </c15:fullRef>
                </c:ext>
              </c:extLst>
              <c:f>'C. obstrictus'!$M$19</c:f>
              <c:strCache>
                <c:ptCount val="1"/>
                <c:pt idx="0">
                  <c:v>Sweden (N=4)</c:v>
                </c:pt>
              </c:strCache>
            </c:strRef>
          </c:cat>
          <c:val>
            <c:numRef>
              <c:extLst>
                <c:ext xmlns:c15="http://schemas.microsoft.com/office/drawing/2012/chart" uri="{02D57815-91ED-43cb-92C2-25804820EDAC}">
                  <c15:fullRef>
                    <c15:sqref>'C. obstrictus'!$O$19:$O$20</c15:sqref>
                  </c15:fullRef>
                </c:ext>
              </c:extLst>
              <c:f>'C. obstrictus'!$O$19</c:f>
              <c:numCache>
                <c:formatCode>General</c:formatCode>
                <c:ptCount val="1"/>
                <c:pt idx="0">
                  <c:v>50</c:v>
                </c:pt>
              </c:numCache>
            </c:numRef>
          </c:val>
          <c:extLst>
            <c:ext xmlns:c16="http://schemas.microsoft.com/office/drawing/2014/chart" uri="{C3380CC4-5D6E-409C-BE32-E72D297353CC}">
              <c16:uniqueId val="{00000001-02CA-4970-BAFD-E9E54012CF61}"/>
            </c:ext>
          </c:extLst>
        </c:ser>
        <c:ser>
          <c:idx val="2"/>
          <c:order val="2"/>
          <c:tx>
            <c:strRef>
              <c:f>'C. obstrictus'!$P$18</c:f>
              <c:strCache>
                <c:ptCount val="1"/>
                <c:pt idx="0">
                  <c:v>&lt;90%</c:v>
                </c:pt>
              </c:strCache>
            </c:strRef>
          </c:tx>
          <c:spPr>
            <a:solidFill>
              <a:srgbClr val="FF0000"/>
            </a:solidFill>
            <a:ln>
              <a:noFill/>
            </a:ln>
            <a:effectLst/>
          </c:spPr>
          <c:invertIfNegative val="0"/>
          <c:cat>
            <c:strRef>
              <c:extLst>
                <c:ext xmlns:c15="http://schemas.microsoft.com/office/drawing/2012/chart" uri="{02D57815-91ED-43cb-92C2-25804820EDAC}">
                  <c15:fullRef>
                    <c15:sqref>'C. obstrictus'!$M$19:$M$20</c15:sqref>
                  </c15:fullRef>
                </c:ext>
              </c:extLst>
              <c:f>'C. obstrictus'!$M$19</c:f>
              <c:strCache>
                <c:ptCount val="1"/>
                <c:pt idx="0">
                  <c:v>Sweden (N=4)</c:v>
                </c:pt>
              </c:strCache>
            </c:strRef>
          </c:cat>
          <c:val>
            <c:numRef>
              <c:extLst>
                <c:ext xmlns:c15="http://schemas.microsoft.com/office/drawing/2012/chart" uri="{02D57815-91ED-43cb-92C2-25804820EDAC}">
                  <c15:fullRef>
                    <c15:sqref>'C. obstrictus'!$P$19:$P$20</c15:sqref>
                  </c15:fullRef>
                </c:ext>
              </c:extLst>
              <c:f>'C. obstrictus'!$P$19</c:f>
              <c:numCache>
                <c:formatCode>General</c:formatCode>
                <c:ptCount val="1"/>
                <c:pt idx="0">
                  <c:v>0</c:v>
                </c:pt>
              </c:numCache>
            </c:numRef>
          </c:val>
          <c:extLst>
            <c:ext xmlns:c16="http://schemas.microsoft.com/office/drawing/2014/chart" uri="{C3380CC4-5D6E-409C-BE32-E72D297353CC}">
              <c16:uniqueId val="{00000002-02CA-4970-BAFD-E9E54012CF61}"/>
            </c:ext>
          </c:extLst>
        </c:ser>
        <c:dLbls>
          <c:showLegendKey val="0"/>
          <c:showVal val="0"/>
          <c:showCatName val="0"/>
          <c:showSerName val="0"/>
          <c:showPercent val="0"/>
          <c:showBubbleSize val="0"/>
        </c:dLbls>
        <c:gapWidth val="75"/>
        <c:overlap val="100"/>
        <c:axId val="236848927"/>
        <c:axId val="236842687"/>
      </c:barChart>
      <c:catAx>
        <c:axId val="236848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2687"/>
        <c:crosses val="autoZero"/>
        <c:auto val="1"/>
        <c:lblAlgn val="ctr"/>
        <c:lblOffset val="100"/>
        <c:noMultiLvlLbl val="0"/>
      </c:catAx>
      <c:valAx>
        <c:axId val="236842687"/>
        <c:scaling>
          <c:orientation val="minMax"/>
          <c:max val="1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prstDash val="sysDot"/>
              <a:round/>
            </a:ln>
            <a:effectLst/>
          </c:spPr>
        </c:minorGridlines>
        <c:title>
          <c:tx>
            <c:rich>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en-US"/>
                  <a:t>%of populations in susceptibility category</a:t>
                </a:r>
              </a:p>
            </c:rich>
          </c:tx>
          <c:layout/>
          <c:overlay val="0"/>
          <c:spPr>
            <a:noFill/>
            <a:ln>
              <a:noFill/>
            </a:ln>
            <a:effectLst/>
          </c:spPr>
          <c:txPr>
            <a:bodyPr rot="-54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36848927"/>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2CC4E-7B8F-43B2-8230-DD9B848B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8</Pages>
  <Words>1887</Words>
  <Characters>10762</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Højland Castberg</dc:creator>
  <cp:keywords/>
  <dc:description/>
  <cp:lastModifiedBy>Dorte Højland Castberg</cp:lastModifiedBy>
  <cp:revision>57</cp:revision>
  <dcterms:created xsi:type="dcterms:W3CDTF">2018-04-10T12:17:00Z</dcterms:created>
  <dcterms:modified xsi:type="dcterms:W3CDTF">2018-05-25T09:31:00Z</dcterms:modified>
</cp:coreProperties>
</file>